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CF9" w:rsidRPr="0076002F" w:rsidRDefault="00847CF9" w:rsidP="0076002F">
      <w:pPr>
        <w:tabs>
          <w:tab w:val="left" w:pos="532"/>
        </w:tabs>
        <w:rPr>
          <w:rFonts w:ascii="Arial" w:hAnsi="Arial" w:cs="Arial"/>
          <w:sz w:val="20"/>
        </w:rPr>
      </w:pPr>
      <w:bookmarkStart w:id="0" w:name="_GoBack"/>
      <w:bookmarkEnd w:id="0"/>
      <w:r w:rsidRPr="0076002F">
        <w:rPr>
          <w:rFonts w:ascii="Arial" w:hAnsi="Arial" w:cs="Arial"/>
          <w:sz w:val="20"/>
        </w:rPr>
        <w:t xml:space="preserve">                                                                                                                                                                                                                                                                                                                                                                 </w:t>
      </w:r>
    </w:p>
    <w:tbl>
      <w:tblPr>
        <w:tblW w:w="9096" w:type="dxa"/>
        <w:tblInd w:w="70" w:type="dxa"/>
        <w:tblLayout w:type="fixed"/>
        <w:tblCellMar>
          <w:left w:w="70" w:type="dxa"/>
          <w:right w:w="70" w:type="dxa"/>
        </w:tblCellMar>
        <w:tblLook w:val="0000" w:firstRow="0" w:lastRow="0" w:firstColumn="0" w:lastColumn="0" w:noHBand="0" w:noVBand="0"/>
      </w:tblPr>
      <w:tblGrid>
        <w:gridCol w:w="4111"/>
        <w:gridCol w:w="38"/>
        <w:gridCol w:w="4923"/>
        <w:gridCol w:w="24"/>
      </w:tblGrid>
      <w:tr w:rsidR="00847CF9" w:rsidRPr="0076002F" w:rsidTr="0076002F">
        <w:trPr>
          <w:gridAfter w:val="1"/>
          <w:wAfter w:w="24" w:type="dxa"/>
        </w:trPr>
        <w:tc>
          <w:tcPr>
            <w:tcW w:w="4111" w:type="dxa"/>
          </w:tcPr>
          <w:p w:rsidR="00847CF9" w:rsidRPr="0076002F" w:rsidRDefault="00847CF9" w:rsidP="0076002F">
            <w:pPr>
              <w:rPr>
                <w:rFonts w:ascii="Arial" w:hAnsi="Arial" w:cs="Arial"/>
                <w:b/>
                <w:sz w:val="20"/>
              </w:rPr>
            </w:pPr>
            <w:r w:rsidRPr="0076002F">
              <w:rPr>
                <w:rFonts w:ascii="Arial" w:hAnsi="Arial" w:cs="Arial"/>
                <w:b/>
                <w:sz w:val="20"/>
              </w:rPr>
              <w:t>TEMA:</w:t>
            </w:r>
          </w:p>
        </w:tc>
        <w:tc>
          <w:tcPr>
            <w:tcW w:w="4961" w:type="dxa"/>
            <w:gridSpan w:val="2"/>
          </w:tcPr>
          <w:p w:rsidR="00847CF9" w:rsidRPr="0076002F" w:rsidRDefault="00EE1236" w:rsidP="00B02014">
            <w:pPr>
              <w:jc w:val="both"/>
              <w:rPr>
                <w:rFonts w:ascii="Arial" w:hAnsi="Arial" w:cs="Arial"/>
                <w:b/>
                <w:sz w:val="20"/>
              </w:rPr>
            </w:pPr>
            <w:r w:rsidRPr="0076002F">
              <w:rPr>
                <w:rFonts w:ascii="Arial" w:hAnsi="Arial" w:cs="Arial"/>
                <w:b/>
                <w:sz w:val="20"/>
              </w:rPr>
              <w:t>Reporte del Indicador de Riesgo de Liquidez (IRL)</w:t>
            </w:r>
            <w:r w:rsidR="00CD043E" w:rsidRPr="0076002F">
              <w:rPr>
                <w:rFonts w:ascii="Arial" w:hAnsi="Arial" w:cs="Arial"/>
                <w:b/>
                <w:sz w:val="20"/>
              </w:rPr>
              <w:t xml:space="preserve"> para l</w:t>
            </w:r>
            <w:r w:rsidR="00DE618B" w:rsidRPr="0076002F">
              <w:rPr>
                <w:rFonts w:ascii="Arial" w:hAnsi="Arial" w:cs="Arial"/>
                <w:b/>
                <w:sz w:val="20"/>
              </w:rPr>
              <w:t>as Sociedades Comisionistas de B</w:t>
            </w:r>
            <w:r w:rsidR="00CD043E" w:rsidRPr="0076002F">
              <w:rPr>
                <w:rFonts w:ascii="Arial" w:hAnsi="Arial" w:cs="Arial"/>
                <w:b/>
                <w:sz w:val="20"/>
              </w:rPr>
              <w:t>olsa de Valores</w:t>
            </w:r>
          </w:p>
        </w:tc>
      </w:tr>
      <w:tr w:rsidR="00847CF9" w:rsidRPr="0076002F" w:rsidTr="0076002F">
        <w:trPr>
          <w:gridAfter w:val="1"/>
          <w:wAfter w:w="24" w:type="dxa"/>
        </w:trPr>
        <w:tc>
          <w:tcPr>
            <w:tcW w:w="4111" w:type="dxa"/>
          </w:tcPr>
          <w:p w:rsidR="00847CF9" w:rsidRPr="0076002F" w:rsidRDefault="00847CF9" w:rsidP="0076002F">
            <w:pPr>
              <w:jc w:val="both"/>
              <w:rPr>
                <w:rFonts w:ascii="Arial" w:hAnsi="Arial" w:cs="Arial"/>
                <w:b/>
                <w:sz w:val="20"/>
              </w:rPr>
            </w:pPr>
            <w:r w:rsidRPr="0076002F">
              <w:rPr>
                <w:rFonts w:ascii="Arial" w:hAnsi="Arial" w:cs="Arial"/>
                <w:b/>
                <w:sz w:val="20"/>
              </w:rPr>
              <w:t>NOMBRE DE PROFORMA:</w:t>
            </w:r>
          </w:p>
        </w:tc>
        <w:tc>
          <w:tcPr>
            <w:tcW w:w="4961" w:type="dxa"/>
            <w:gridSpan w:val="2"/>
          </w:tcPr>
          <w:p w:rsidR="00847CF9" w:rsidRPr="0076002F" w:rsidRDefault="00EE1236" w:rsidP="00B02014">
            <w:pPr>
              <w:pStyle w:val="Ttulo1"/>
              <w:rPr>
                <w:rFonts w:cs="Arial"/>
                <w:b w:val="0"/>
                <w:sz w:val="20"/>
              </w:rPr>
            </w:pPr>
            <w:r w:rsidRPr="0076002F">
              <w:rPr>
                <w:rFonts w:cs="Arial"/>
                <w:b w:val="0"/>
                <w:sz w:val="20"/>
              </w:rPr>
              <w:t>Indicador Riesgo Liquidez</w:t>
            </w:r>
            <w:r w:rsidR="007A12C3" w:rsidRPr="0076002F">
              <w:rPr>
                <w:rFonts w:cs="Arial"/>
                <w:b w:val="0"/>
                <w:sz w:val="20"/>
              </w:rPr>
              <w:t xml:space="preserve"> </w:t>
            </w:r>
            <w:r w:rsidR="00A414FD" w:rsidRPr="0076002F">
              <w:rPr>
                <w:rFonts w:cs="Arial"/>
                <w:b w:val="0"/>
                <w:sz w:val="20"/>
              </w:rPr>
              <w:t xml:space="preserve">de </w:t>
            </w:r>
            <w:r w:rsidR="007A12C3" w:rsidRPr="0076002F">
              <w:rPr>
                <w:rFonts w:cs="Arial"/>
                <w:b w:val="0"/>
                <w:sz w:val="20"/>
              </w:rPr>
              <w:t>las</w:t>
            </w:r>
            <w:r w:rsidR="007A12C3" w:rsidRPr="0076002F">
              <w:rPr>
                <w:rFonts w:cs="Arial"/>
                <w:sz w:val="20"/>
              </w:rPr>
              <w:t xml:space="preserve"> </w:t>
            </w:r>
            <w:r w:rsidR="007A12C3" w:rsidRPr="0076002F">
              <w:rPr>
                <w:rFonts w:cs="Arial"/>
                <w:b w:val="0"/>
                <w:sz w:val="20"/>
              </w:rPr>
              <w:t xml:space="preserve">Sociedades Comisionistas de </w:t>
            </w:r>
            <w:r w:rsidR="0039339A" w:rsidRPr="0076002F">
              <w:rPr>
                <w:rFonts w:cs="Arial"/>
                <w:b w:val="0"/>
                <w:sz w:val="20"/>
              </w:rPr>
              <w:t>B</w:t>
            </w:r>
            <w:r w:rsidR="007A12C3" w:rsidRPr="0076002F">
              <w:rPr>
                <w:rFonts w:cs="Arial"/>
                <w:b w:val="0"/>
                <w:sz w:val="20"/>
              </w:rPr>
              <w:t>olsa de Valores</w:t>
            </w:r>
          </w:p>
        </w:tc>
      </w:tr>
      <w:tr w:rsidR="00847CF9" w:rsidRPr="0076002F" w:rsidTr="007F0EE3">
        <w:trPr>
          <w:trHeight w:val="240"/>
        </w:trPr>
        <w:tc>
          <w:tcPr>
            <w:tcW w:w="4149" w:type="dxa"/>
            <w:gridSpan w:val="2"/>
          </w:tcPr>
          <w:p w:rsidR="00847CF9" w:rsidRPr="0076002F" w:rsidRDefault="00847CF9" w:rsidP="00B02014">
            <w:pPr>
              <w:jc w:val="both"/>
              <w:rPr>
                <w:rFonts w:ascii="Arial" w:hAnsi="Arial" w:cs="Arial"/>
                <w:b/>
                <w:sz w:val="20"/>
              </w:rPr>
            </w:pPr>
            <w:r w:rsidRPr="0076002F">
              <w:rPr>
                <w:rFonts w:ascii="Arial" w:hAnsi="Arial" w:cs="Arial"/>
                <w:b/>
                <w:sz w:val="20"/>
              </w:rPr>
              <w:t>NUMERO DE PROFORMA:</w:t>
            </w:r>
          </w:p>
        </w:tc>
        <w:tc>
          <w:tcPr>
            <w:tcW w:w="4947" w:type="dxa"/>
            <w:gridSpan w:val="2"/>
          </w:tcPr>
          <w:p w:rsidR="00847CF9" w:rsidRPr="00491387" w:rsidRDefault="00847CF9" w:rsidP="00B02014">
            <w:pPr>
              <w:jc w:val="both"/>
              <w:rPr>
                <w:rFonts w:ascii="Arial" w:hAnsi="Arial" w:cs="Arial"/>
                <w:sz w:val="20"/>
              </w:rPr>
            </w:pPr>
            <w:r w:rsidRPr="00491387">
              <w:rPr>
                <w:rFonts w:ascii="Arial" w:hAnsi="Arial" w:cs="Arial"/>
                <w:sz w:val="20"/>
              </w:rPr>
              <w:t xml:space="preserve">F. </w:t>
            </w:r>
            <w:r w:rsidR="00EE1236" w:rsidRPr="00491387">
              <w:rPr>
                <w:rFonts w:ascii="Arial" w:hAnsi="Arial" w:cs="Arial"/>
                <w:sz w:val="20"/>
              </w:rPr>
              <w:t>8000-</w:t>
            </w:r>
            <w:r w:rsidR="00622384">
              <w:rPr>
                <w:rFonts w:ascii="Arial" w:hAnsi="Arial" w:cs="Arial"/>
                <w:sz w:val="20"/>
              </w:rPr>
              <w:t>61</w:t>
            </w:r>
          </w:p>
        </w:tc>
      </w:tr>
      <w:tr w:rsidR="00847CF9" w:rsidRPr="0076002F" w:rsidTr="00BA39BB">
        <w:trPr>
          <w:trHeight w:val="240"/>
        </w:trPr>
        <w:tc>
          <w:tcPr>
            <w:tcW w:w="4149" w:type="dxa"/>
            <w:gridSpan w:val="2"/>
          </w:tcPr>
          <w:p w:rsidR="00847CF9" w:rsidRPr="0076002F" w:rsidRDefault="00847CF9" w:rsidP="00B02014">
            <w:pPr>
              <w:jc w:val="both"/>
              <w:rPr>
                <w:rFonts w:ascii="Arial" w:hAnsi="Arial" w:cs="Arial"/>
                <w:b/>
                <w:sz w:val="20"/>
              </w:rPr>
            </w:pPr>
            <w:r w:rsidRPr="0076002F">
              <w:rPr>
                <w:rFonts w:ascii="Arial" w:hAnsi="Arial" w:cs="Arial"/>
                <w:b/>
                <w:sz w:val="20"/>
              </w:rPr>
              <w:t>NUMERO DE FORMATO:</w:t>
            </w:r>
          </w:p>
        </w:tc>
        <w:tc>
          <w:tcPr>
            <w:tcW w:w="4947" w:type="dxa"/>
            <w:gridSpan w:val="2"/>
          </w:tcPr>
          <w:p w:rsidR="00622384" w:rsidRPr="00491387" w:rsidRDefault="00622384" w:rsidP="00B02014">
            <w:pPr>
              <w:jc w:val="both"/>
              <w:rPr>
                <w:rFonts w:ascii="Arial" w:hAnsi="Arial" w:cs="Arial"/>
                <w:sz w:val="20"/>
              </w:rPr>
            </w:pPr>
            <w:r>
              <w:rPr>
                <w:rFonts w:ascii="Arial" w:hAnsi="Arial" w:cs="Arial"/>
                <w:sz w:val="20"/>
              </w:rPr>
              <w:t>508</w:t>
            </w:r>
          </w:p>
        </w:tc>
      </w:tr>
      <w:tr w:rsidR="00847CF9" w:rsidRPr="0076002F" w:rsidTr="00BA39BB">
        <w:tc>
          <w:tcPr>
            <w:tcW w:w="4149" w:type="dxa"/>
            <w:gridSpan w:val="2"/>
          </w:tcPr>
          <w:p w:rsidR="00847CF9" w:rsidRPr="0076002F" w:rsidRDefault="00847CF9" w:rsidP="00B02014">
            <w:pPr>
              <w:jc w:val="both"/>
              <w:rPr>
                <w:rFonts w:ascii="Arial" w:hAnsi="Arial" w:cs="Arial"/>
                <w:b/>
                <w:sz w:val="20"/>
              </w:rPr>
            </w:pPr>
            <w:r w:rsidRPr="0076002F">
              <w:rPr>
                <w:rFonts w:ascii="Arial" w:hAnsi="Arial" w:cs="Arial"/>
                <w:b/>
                <w:sz w:val="20"/>
              </w:rPr>
              <w:t>OBJETIVO:</w:t>
            </w:r>
          </w:p>
        </w:tc>
        <w:tc>
          <w:tcPr>
            <w:tcW w:w="4947" w:type="dxa"/>
            <w:gridSpan w:val="2"/>
          </w:tcPr>
          <w:p w:rsidR="00847CF9" w:rsidRPr="0076002F" w:rsidRDefault="00EE1236" w:rsidP="00B02014">
            <w:pPr>
              <w:jc w:val="both"/>
              <w:rPr>
                <w:rFonts w:ascii="Arial" w:hAnsi="Arial" w:cs="Arial"/>
                <w:sz w:val="20"/>
              </w:rPr>
            </w:pPr>
            <w:r w:rsidRPr="0076002F">
              <w:rPr>
                <w:rFonts w:ascii="Arial" w:hAnsi="Arial" w:cs="Arial"/>
                <w:spacing w:val="0"/>
                <w:sz w:val="20"/>
              </w:rPr>
              <w:t xml:space="preserve">Recoger información con el fin de evaluar el riesgo de liquidez de las </w:t>
            </w:r>
            <w:r w:rsidR="000572A8" w:rsidRPr="0076002F">
              <w:rPr>
                <w:rFonts w:ascii="Arial" w:hAnsi="Arial" w:cs="Arial"/>
                <w:spacing w:val="0"/>
                <w:sz w:val="20"/>
              </w:rPr>
              <w:t xml:space="preserve">Sociedades Comisionistas de </w:t>
            </w:r>
            <w:r w:rsidR="00AA0B88" w:rsidRPr="0076002F">
              <w:rPr>
                <w:rFonts w:ascii="Arial" w:hAnsi="Arial" w:cs="Arial"/>
                <w:spacing w:val="0"/>
                <w:sz w:val="20"/>
              </w:rPr>
              <w:t>B</w:t>
            </w:r>
            <w:r w:rsidR="000572A8" w:rsidRPr="0076002F">
              <w:rPr>
                <w:rFonts w:ascii="Arial" w:hAnsi="Arial" w:cs="Arial"/>
                <w:spacing w:val="0"/>
                <w:sz w:val="20"/>
              </w:rPr>
              <w:t xml:space="preserve">olsa de </w:t>
            </w:r>
            <w:r w:rsidR="00AA0B88" w:rsidRPr="0076002F">
              <w:rPr>
                <w:rFonts w:ascii="Arial" w:hAnsi="Arial" w:cs="Arial"/>
                <w:spacing w:val="0"/>
                <w:sz w:val="20"/>
              </w:rPr>
              <w:t>V</w:t>
            </w:r>
            <w:r w:rsidR="000572A8" w:rsidRPr="0076002F">
              <w:rPr>
                <w:rFonts w:ascii="Arial" w:hAnsi="Arial" w:cs="Arial"/>
                <w:spacing w:val="0"/>
                <w:sz w:val="20"/>
              </w:rPr>
              <w:t>alores.</w:t>
            </w:r>
          </w:p>
        </w:tc>
      </w:tr>
      <w:tr w:rsidR="00847CF9" w:rsidRPr="0076002F" w:rsidTr="00BA39BB">
        <w:tc>
          <w:tcPr>
            <w:tcW w:w="4149" w:type="dxa"/>
            <w:gridSpan w:val="2"/>
          </w:tcPr>
          <w:p w:rsidR="00847CF9" w:rsidRPr="0076002F" w:rsidRDefault="00847CF9" w:rsidP="00B02014">
            <w:pPr>
              <w:jc w:val="both"/>
              <w:rPr>
                <w:rFonts w:ascii="Arial" w:hAnsi="Arial" w:cs="Arial"/>
                <w:b/>
                <w:sz w:val="20"/>
              </w:rPr>
            </w:pPr>
            <w:r w:rsidRPr="0076002F">
              <w:rPr>
                <w:rFonts w:ascii="Arial" w:hAnsi="Arial" w:cs="Arial"/>
                <w:b/>
                <w:sz w:val="20"/>
              </w:rPr>
              <w:t>TIPO DE ENTIDAD A LA QUE APLICA:</w:t>
            </w:r>
          </w:p>
        </w:tc>
        <w:tc>
          <w:tcPr>
            <w:tcW w:w="4947" w:type="dxa"/>
            <w:gridSpan w:val="2"/>
          </w:tcPr>
          <w:p w:rsidR="00847CF9" w:rsidRPr="0076002F" w:rsidRDefault="000572A8" w:rsidP="00B02014">
            <w:pPr>
              <w:jc w:val="both"/>
              <w:rPr>
                <w:rFonts w:ascii="Arial" w:hAnsi="Arial" w:cs="Arial"/>
                <w:sz w:val="20"/>
              </w:rPr>
            </w:pPr>
            <w:r w:rsidRPr="0076002F">
              <w:rPr>
                <w:rFonts w:ascii="Arial" w:hAnsi="Arial" w:cs="Arial"/>
                <w:sz w:val="20"/>
              </w:rPr>
              <w:t xml:space="preserve">Sociedades Comisionistas de </w:t>
            </w:r>
            <w:r w:rsidR="00AA0B88" w:rsidRPr="0076002F">
              <w:rPr>
                <w:rFonts w:ascii="Arial" w:hAnsi="Arial" w:cs="Arial"/>
                <w:sz w:val="20"/>
              </w:rPr>
              <w:t>B</w:t>
            </w:r>
            <w:r w:rsidRPr="0076002F">
              <w:rPr>
                <w:rFonts w:ascii="Arial" w:hAnsi="Arial" w:cs="Arial"/>
                <w:sz w:val="20"/>
              </w:rPr>
              <w:t xml:space="preserve">olsa de </w:t>
            </w:r>
            <w:r w:rsidR="00AA0B88" w:rsidRPr="0076002F">
              <w:rPr>
                <w:rFonts w:ascii="Arial" w:hAnsi="Arial" w:cs="Arial"/>
                <w:sz w:val="20"/>
              </w:rPr>
              <w:t>V</w:t>
            </w:r>
            <w:r w:rsidRPr="0076002F">
              <w:rPr>
                <w:rFonts w:ascii="Arial" w:hAnsi="Arial" w:cs="Arial"/>
                <w:sz w:val="20"/>
              </w:rPr>
              <w:t>alores</w:t>
            </w:r>
            <w:r w:rsidR="007E1649" w:rsidRPr="0076002F">
              <w:rPr>
                <w:rFonts w:ascii="Arial" w:hAnsi="Arial" w:cs="Arial"/>
                <w:b/>
                <w:sz w:val="20"/>
              </w:rPr>
              <w:t xml:space="preserve"> </w:t>
            </w:r>
          </w:p>
        </w:tc>
      </w:tr>
      <w:tr w:rsidR="00847CF9" w:rsidRPr="0076002F">
        <w:tc>
          <w:tcPr>
            <w:tcW w:w="4149" w:type="dxa"/>
            <w:gridSpan w:val="2"/>
          </w:tcPr>
          <w:p w:rsidR="00847CF9" w:rsidRPr="0076002F" w:rsidRDefault="00847CF9" w:rsidP="00B02014">
            <w:pPr>
              <w:jc w:val="both"/>
              <w:rPr>
                <w:rFonts w:ascii="Arial" w:hAnsi="Arial" w:cs="Arial"/>
                <w:b/>
                <w:sz w:val="20"/>
              </w:rPr>
            </w:pPr>
            <w:r w:rsidRPr="0076002F">
              <w:rPr>
                <w:rFonts w:ascii="Arial" w:hAnsi="Arial" w:cs="Arial"/>
                <w:b/>
                <w:sz w:val="20"/>
              </w:rPr>
              <w:t>TRAMITE:</w:t>
            </w:r>
          </w:p>
        </w:tc>
        <w:tc>
          <w:tcPr>
            <w:tcW w:w="4947" w:type="dxa"/>
            <w:gridSpan w:val="2"/>
          </w:tcPr>
          <w:p w:rsidR="00847CF9" w:rsidRPr="0076002F" w:rsidRDefault="00667901" w:rsidP="00B02014">
            <w:pPr>
              <w:jc w:val="both"/>
              <w:rPr>
                <w:rFonts w:ascii="Arial" w:hAnsi="Arial" w:cs="Arial"/>
                <w:sz w:val="20"/>
              </w:rPr>
            </w:pPr>
            <w:r w:rsidRPr="0076002F">
              <w:rPr>
                <w:rFonts w:ascii="Arial" w:hAnsi="Arial" w:cs="Arial"/>
                <w:sz w:val="20"/>
              </w:rPr>
              <w:t>51 Balances Diarios</w:t>
            </w:r>
          </w:p>
        </w:tc>
      </w:tr>
      <w:tr w:rsidR="00847CF9" w:rsidRPr="0076002F">
        <w:tc>
          <w:tcPr>
            <w:tcW w:w="4149" w:type="dxa"/>
            <w:gridSpan w:val="2"/>
          </w:tcPr>
          <w:p w:rsidR="00847CF9" w:rsidRPr="0076002F" w:rsidRDefault="00847CF9" w:rsidP="00B02014">
            <w:pPr>
              <w:jc w:val="both"/>
              <w:rPr>
                <w:rFonts w:ascii="Arial" w:hAnsi="Arial" w:cs="Arial"/>
                <w:b/>
                <w:sz w:val="20"/>
              </w:rPr>
            </w:pPr>
            <w:r w:rsidRPr="0076002F">
              <w:rPr>
                <w:rFonts w:ascii="Arial" w:hAnsi="Arial" w:cs="Arial"/>
                <w:b/>
                <w:sz w:val="20"/>
              </w:rPr>
              <w:t>PERIODICIDAD:</w:t>
            </w:r>
          </w:p>
        </w:tc>
        <w:tc>
          <w:tcPr>
            <w:tcW w:w="4947" w:type="dxa"/>
            <w:gridSpan w:val="2"/>
          </w:tcPr>
          <w:p w:rsidR="00847CF9" w:rsidRPr="0076002F" w:rsidRDefault="000572A8" w:rsidP="00B02014">
            <w:pPr>
              <w:jc w:val="both"/>
              <w:rPr>
                <w:rFonts w:ascii="Arial" w:hAnsi="Arial" w:cs="Arial"/>
                <w:sz w:val="20"/>
              </w:rPr>
            </w:pPr>
            <w:r w:rsidRPr="0076002F">
              <w:rPr>
                <w:rFonts w:ascii="Arial" w:hAnsi="Arial" w:cs="Arial"/>
                <w:sz w:val="20"/>
              </w:rPr>
              <w:t>Diaria</w:t>
            </w:r>
          </w:p>
        </w:tc>
      </w:tr>
      <w:tr w:rsidR="00847CF9" w:rsidRPr="0076002F">
        <w:tc>
          <w:tcPr>
            <w:tcW w:w="4149" w:type="dxa"/>
            <w:gridSpan w:val="2"/>
          </w:tcPr>
          <w:p w:rsidR="00847CF9" w:rsidRPr="0076002F" w:rsidRDefault="00847CF9" w:rsidP="00B02014">
            <w:pPr>
              <w:jc w:val="both"/>
              <w:rPr>
                <w:rFonts w:ascii="Arial" w:hAnsi="Arial" w:cs="Arial"/>
                <w:b/>
                <w:sz w:val="20"/>
              </w:rPr>
            </w:pPr>
            <w:r w:rsidRPr="0076002F">
              <w:rPr>
                <w:rFonts w:ascii="Arial" w:hAnsi="Arial" w:cs="Arial"/>
                <w:b/>
                <w:sz w:val="20"/>
              </w:rPr>
              <w:t xml:space="preserve">FECHA DE </w:t>
            </w:r>
            <w:r w:rsidR="00157E81" w:rsidRPr="0076002F">
              <w:rPr>
                <w:rFonts w:ascii="Arial" w:hAnsi="Arial" w:cs="Arial"/>
                <w:b/>
                <w:sz w:val="20"/>
              </w:rPr>
              <w:t>REPORTE</w:t>
            </w:r>
            <w:r w:rsidR="00C15FEB" w:rsidRPr="0076002F">
              <w:rPr>
                <w:rFonts w:ascii="Arial" w:hAnsi="Arial" w:cs="Arial"/>
                <w:b/>
                <w:sz w:val="20"/>
              </w:rPr>
              <w:t>:</w:t>
            </w:r>
          </w:p>
        </w:tc>
        <w:tc>
          <w:tcPr>
            <w:tcW w:w="4947" w:type="dxa"/>
            <w:gridSpan w:val="2"/>
          </w:tcPr>
          <w:p w:rsidR="00847CF9" w:rsidRPr="0076002F" w:rsidRDefault="00DF278D" w:rsidP="00B02014">
            <w:pPr>
              <w:jc w:val="both"/>
              <w:rPr>
                <w:rFonts w:ascii="Arial" w:hAnsi="Arial" w:cs="Arial"/>
                <w:sz w:val="20"/>
              </w:rPr>
            </w:pPr>
            <w:r w:rsidRPr="0076002F">
              <w:rPr>
                <w:rFonts w:ascii="Arial" w:hAnsi="Arial" w:cs="Arial"/>
                <w:sz w:val="20"/>
              </w:rPr>
              <w:t>D</w:t>
            </w:r>
            <w:r w:rsidR="00157E81" w:rsidRPr="0076002F">
              <w:rPr>
                <w:rFonts w:ascii="Arial" w:hAnsi="Arial" w:cs="Arial"/>
                <w:sz w:val="20"/>
              </w:rPr>
              <w:t xml:space="preserve">ía hábil </w:t>
            </w:r>
            <w:r w:rsidRPr="0076002F">
              <w:rPr>
                <w:rFonts w:ascii="Arial" w:hAnsi="Arial" w:cs="Arial"/>
                <w:sz w:val="20"/>
              </w:rPr>
              <w:t>siguiente a</w:t>
            </w:r>
            <w:r w:rsidR="00157E81" w:rsidRPr="0076002F">
              <w:rPr>
                <w:rFonts w:ascii="Arial" w:hAnsi="Arial" w:cs="Arial"/>
                <w:sz w:val="20"/>
              </w:rPr>
              <w:t xml:space="preserve"> la fecha de corte</w:t>
            </w:r>
            <w:r w:rsidR="00BD271A" w:rsidRPr="0076002F">
              <w:rPr>
                <w:rFonts w:ascii="Arial" w:hAnsi="Arial" w:cs="Arial"/>
                <w:sz w:val="20"/>
              </w:rPr>
              <w:t xml:space="preserve"> hasta las </w:t>
            </w:r>
            <w:smartTag w:uri="urn:schemas-microsoft-com:office:smarttags" w:element="time">
              <w:smartTagPr>
                <w:attr w:name="Hour" w:val="9"/>
                <w:attr w:name="Minute" w:val="00"/>
              </w:smartTagPr>
              <w:r w:rsidR="00BD271A" w:rsidRPr="0076002F">
                <w:rPr>
                  <w:rFonts w:ascii="Arial" w:hAnsi="Arial" w:cs="Arial"/>
                  <w:sz w:val="20"/>
                </w:rPr>
                <w:t>9:00</w:t>
              </w:r>
            </w:smartTag>
            <w:r w:rsidR="00BD271A" w:rsidRPr="0076002F">
              <w:rPr>
                <w:rFonts w:ascii="Arial" w:hAnsi="Arial" w:cs="Arial"/>
                <w:sz w:val="20"/>
              </w:rPr>
              <w:t xml:space="preserve"> a.m</w:t>
            </w:r>
            <w:r w:rsidR="00157E81" w:rsidRPr="0076002F">
              <w:rPr>
                <w:rFonts w:ascii="Arial" w:hAnsi="Arial" w:cs="Arial"/>
                <w:sz w:val="20"/>
              </w:rPr>
              <w:t xml:space="preserve">. </w:t>
            </w:r>
          </w:p>
        </w:tc>
      </w:tr>
      <w:tr w:rsidR="00847CF9" w:rsidRPr="0076002F">
        <w:tc>
          <w:tcPr>
            <w:tcW w:w="4149" w:type="dxa"/>
            <w:gridSpan w:val="2"/>
          </w:tcPr>
          <w:p w:rsidR="00847CF9" w:rsidRPr="0076002F" w:rsidRDefault="00847CF9" w:rsidP="00B02014">
            <w:pPr>
              <w:jc w:val="both"/>
              <w:rPr>
                <w:rFonts w:ascii="Arial" w:hAnsi="Arial" w:cs="Arial"/>
                <w:b/>
                <w:sz w:val="20"/>
              </w:rPr>
            </w:pPr>
            <w:r w:rsidRPr="0076002F">
              <w:rPr>
                <w:rFonts w:ascii="Arial" w:hAnsi="Arial" w:cs="Arial"/>
                <w:b/>
                <w:sz w:val="20"/>
              </w:rPr>
              <w:t xml:space="preserve">FECHA DE </w:t>
            </w:r>
            <w:r w:rsidR="00157E81" w:rsidRPr="0076002F">
              <w:rPr>
                <w:rFonts w:ascii="Arial" w:hAnsi="Arial" w:cs="Arial"/>
                <w:b/>
                <w:sz w:val="20"/>
              </w:rPr>
              <w:t>CORTE DE LA INFORMACION</w:t>
            </w:r>
            <w:r w:rsidRPr="0076002F">
              <w:rPr>
                <w:rFonts w:ascii="Arial" w:hAnsi="Arial" w:cs="Arial"/>
                <w:b/>
                <w:sz w:val="20"/>
              </w:rPr>
              <w:t>:</w:t>
            </w:r>
          </w:p>
        </w:tc>
        <w:tc>
          <w:tcPr>
            <w:tcW w:w="4947" w:type="dxa"/>
            <w:gridSpan w:val="2"/>
          </w:tcPr>
          <w:p w:rsidR="00847CF9" w:rsidRPr="0076002F" w:rsidRDefault="00157E81" w:rsidP="00B02014">
            <w:pPr>
              <w:jc w:val="both"/>
              <w:rPr>
                <w:rFonts w:ascii="Arial" w:hAnsi="Arial" w:cs="Arial"/>
                <w:sz w:val="20"/>
                <w:highlight w:val="yellow"/>
              </w:rPr>
            </w:pPr>
            <w:r w:rsidRPr="0076002F">
              <w:rPr>
                <w:rFonts w:ascii="Arial" w:hAnsi="Arial" w:cs="Arial"/>
                <w:sz w:val="20"/>
              </w:rPr>
              <w:t>Diaria</w:t>
            </w:r>
          </w:p>
        </w:tc>
      </w:tr>
      <w:tr w:rsidR="00847CF9" w:rsidRPr="0076002F">
        <w:tc>
          <w:tcPr>
            <w:tcW w:w="4149" w:type="dxa"/>
            <w:gridSpan w:val="2"/>
          </w:tcPr>
          <w:p w:rsidR="00847CF9" w:rsidRPr="0076002F" w:rsidRDefault="00847CF9" w:rsidP="00B02014">
            <w:pPr>
              <w:jc w:val="both"/>
              <w:rPr>
                <w:rFonts w:ascii="Arial" w:hAnsi="Arial" w:cs="Arial"/>
                <w:b/>
                <w:sz w:val="20"/>
              </w:rPr>
            </w:pPr>
            <w:r w:rsidRPr="0076002F">
              <w:rPr>
                <w:rFonts w:ascii="Arial" w:hAnsi="Arial" w:cs="Arial"/>
                <w:b/>
                <w:sz w:val="20"/>
              </w:rPr>
              <w:t>DOCUMENTO TÉCNICO:</w:t>
            </w:r>
          </w:p>
        </w:tc>
        <w:tc>
          <w:tcPr>
            <w:tcW w:w="4947" w:type="dxa"/>
            <w:gridSpan w:val="2"/>
          </w:tcPr>
          <w:p w:rsidR="00847CF9" w:rsidRPr="0076002F" w:rsidRDefault="00667901" w:rsidP="00B02014">
            <w:pPr>
              <w:jc w:val="both"/>
              <w:rPr>
                <w:rFonts w:ascii="Arial" w:hAnsi="Arial" w:cs="Arial"/>
                <w:sz w:val="20"/>
              </w:rPr>
            </w:pPr>
            <w:r w:rsidRPr="0076002F">
              <w:rPr>
                <w:rFonts w:ascii="Arial" w:hAnsi="Arial" w:cs="Arial"/>
                <w:sz w:val="20"/>
              </w:rPr>
              <w:t>SB-DS-007</w:t>
            </w:r>
          </w:p>
        </w:tc>
      </w:tr>
      <w:tr w:rsidR="00847CF9" w:rsidRPr="0076002F">
        <w:tc>
          <w:tcPr>
            <w:tcW w:w="4149" w:type="dxa"/>
            <w:gridSpan w:val="2"/>
          </w:tcPr>
          <w:p w:rsidR="00847CF9" w:rsidRPr="0076002F" w:rsidRDefault="00847CF9" w:rsidP="00B02014">
            <w:pPr>
              <w:jc w:val="both"/>
              <w:rPr>
                <w:rFonts w:ascii="Arial" w:hAnsi="Arial" w:cs="Arial"/>
                <w:b/>
                <w:sz w:val="20"/>
              </w:rPr>
            </w:pPr>
            <w:r w:rsidRPr="0076002F">
              <w:rPr>
                <w:rFonts w:ascii="Arial" w:hAnsi="Arial" w:cs="Arial"/>
                <w:b/>
                <w:sz w:val="20"/>
              </w:rPr>
              <w:t>TIPO Y NUMERO DEL INFORME</w:t>
            </w:r>
          </w:p>
        </w:tc>
        <w:tc>
          <w:tcPr>
            <w:tcW w:w="4947" w:type="dxa"/>
            <w:gridSpan w:val="2"/>
          </w:tcPr>
          <w:p w:rsidR="00847CF9" w:rsidRPr="0076002F" w:rsidRDefault="00C768E3" w:rsidP="00B02014">
            <w:pPr>
              <w:jc w:val="both"/>
              <w:rPr>
                <w:rFonts w:ascii="Arial" w:hAnsi="Arial" w:cs="Arial"/>
                <w:sz w:val="20"/>
              </w:rPr>
            </w:pPr>
            <w:r w:rsidRPr="0076002F">
              <w:rPr>
                <w:rFonts w:ascii="Arial" w:hAnsi="Arial" w:cs="Arial"/>
                <w:sz w:val="20"/>
              </w:rPr>
              <w:t xml:space="preserve">10 </w:t>
            </w:r>
            <w:proofErr w:type="spellStart"/>
            <w:r w:rsidRPr="0076002F">
              <w:rPr>
                <w:rFonts w:ascii="Arial" w:hAnsi="Arial" w:cs="Arial"/>
                <w:sz w:val="20"/>
              </w:rPr>
              <w:t>Area</w:t>
            </w:r>
            <w:proofErr w:type="spellEnd"/>
            <w:r w:rsidRPr="0076002F">
              <w:rPr>
                <w:rFonts w:ascii="Arial" w:hAnsi="Arial" w:cs="Arial"/>
                <w:sz w:val="20"/>
              </w:rPr>
              <w:t xml:space="preserve"> 9 – IRL Comisionistas de Bolsa</w:t>
            </w:r>
          </w:p>
        </w:tc>
      </w:tr>
      <w:tr w:rsidR="00847CF9" w:rsidRPr="0076002F">
        <w:tc>
          <w:tcPr>
            <w:tcW w:w="4149" w:type="dxa"/>
            <w:gridSpan w:val="2"/>
          </w:tcPr>
          <w:p w:rsidR="00847CF9" w:rsidRPr="0076002F" w:rsidRDefault="00847CF9" w:rsidP="00B02014">
            <w:pPr>
              <w:jc w:val="both"/>
              <w:rPr>
                <w:rFonts w:ascii="Arial" w:hAnsi="Arial" w:cs="Arial"/>
                <w:b/>
                <w:sz w:val="20"/>
              </w:rPr>
            </w:pPr>
            <w:r w:rsidRPr="0076002F">
              <w:rPr>
                <w:rFonts w:ascii="Arial" w:hAnsi="Arial" w:cs="Arial"/>
                <w:b/>
                <w:sz w:val="20"/>
              </w:rPr>
              <w:t>MEDIO DE ENVÍO:</w:t>
            </w:r>
          </w:p>
        </w:tc>
        <w:tc>
          <w:tcPr>
            <w:tcW w:w="4947" w:type="dxa"/>
            <w:gridSpan w:val="2"/>
          </w:tcPr>
          <w:p w:rsidR="00847CF9" w:rsidRPr="0076002F" w:rsidRDefault="00667901" w:rsidP="00B02014">
            <w:pPr>
              <w:jc w:val="both"/>
              <w:rPr>
                <w:rFonts w:ascii="Arial" w:hAnsi="Arial" w:cs="Arial"/>
                <w:sz w:val="20"/>
              </w:rPr>
            </w:pPr>
            <w:r w:rsidRPr="0076002F">
              <w:rPr>
                <w:rFonts w:ascii="Arial" w:hAnsi="Arial" w:cs="Arial"/>
                <w:sz w:val="20"/>
              </w:rPr>
              <w:t xml:space="preserve">RAS </w:t>
            </w:r>
            <w:proofErr w:type="spellStart"/>
            <w:r w:rsidRPr="0076002F">
              <w:rPr>
                <w:rFonts w:ascii="Arial" w:hAnsi="Arial" w:cs="Arial"/>
                <w:sz w:val="20"/>
              </w:rPr>
              <w:t>ó</w:t>
            </w:r>
            <w:proofErr w:type="spellEnd"/>
            <w:r w:rsidRPr="0076002F">
              <w:rPr>
                <w:rFonts w:ascii="Arial" w:hAnsi="Arial" w:cs="Arial"/>
                <w:sz w:val="20"/>
              </w:rPr>
              <w:t xml:space="preserve"> WEB</w:t>
            </w:r>
          </w:p>
        </w:tc>
      </w:tr>
      <w:tr w:rsidR="00847CF9" w:rsidRPr="0076002F">
        <w:tc>
          <w:tcPr>
            <w:tcW w:w="4149" w:type="dxa"/>
            <w:gridSpan w:val="2"/>
          </w:tcPr>
          <w:p w:rsidR="00847CF9" w:rsidRPr="0076002F" w:rsidRDefault="00847CF9" w:rsidP="00B02014">
            <w:pPr>
              <w:jc w:val="both"/>
              <w:rPr>
                <w:rFonts w:ascii="Arial" w:hAnsi="Arial" w:cs="Arial"/>
                <w:b/>
                <w:sz w:val="20"/>
              </w:rPr>
            </w:pPr>
            <w:r w:rsidRPr="0076002F">
              <w:rPr>
                <w:rFonts w:ascii="Arial" w:hAnsi="Arial" w:cs="Arial"/>
                <w:b/>
                <w:sz w:val="20"/>
              </w:rPr>
              <w:t xml:space="preserve">DEPENDENCIA </w:t>
            </w:r>
            <w:r w:rsidR="0076002F" w:rsidRPr="0076002F">
              <w:rPr>
                <w:rFonts w:ascii="Arial" w:hAnsi="Arial" w:cs="Arial"/>
                <w:b/>
                <w:sz w:val="20"/>
              </w:rPr>
              <w:t>RESPONSABLE</w:t>
            </w:r>
            <w:r w:rsidRPr="0076002F">
              <w:rPr>
                <w:rFonts w:ascii="Arial" w:hAnsi="Arial" w:cs="Arial"/>
                <w:b/>
                <w:sz w:val="20"/>
              </w:rPr>
              <w:t>:</w:t>
            </w:r>
          </w:p>
          <w:p w:rsidR="0076002F" w:rsidRPr="0076002F" w:rsidRDefault="0076002F" w:rsidP="00B02014">
            <w:pPr>
              <w:jc w:val="both"/>
              <w:rPr>
                <w:rFonts w:ascii="Arial" w:hAnsi="Arial" w:cs="Arial"/>
                <w:b/>
                <w:sz w:val="20"/>
              </w:rPr>
            </w:pPr>
            <w:r w:rsidRPr="0076002F">
              <w:rPr>
                <w:rFonts w:ascii="Arial" w:hAnsi="Arial" w:cs="Arial"/>
                <w:b/>
                <w:sz w:val="20"/>
              </w:rPr>
              <w:t>DEPENDENCIA USUARIA:</w:t>
            </w:r>
          </w:p>
        </w:tc>
        <w:tc>
          <w:tcPr>
            <w:tcW w:w="4947" w:type="dxa"/>
            <w:gridSpan w:val="2"/>
          </w:tcPr>
          <w:p w:rsidR="00847CF9" w:rsidRPr="0076002F" w:rsidRDefault="00847CF9" w:rsidP="00B02014">
            <w:pPr>
              <w:jc w:val="both"/>
              <w:rPr>
                <w:rFonts w:ascii="Arial" w:hAnsi="Arial" w:cs="Arial"/>
                <w:sz w:val="20"/>
              </w:rPr>
            </w:pPr>
            <w:proofErr w:type="spellStart"/>
            <w:r w:rsidRPr="0076002F">
              <w:rPr>
                <w:rFonts w:ascii="Arial" w:hAnsi="Arial" w:cs="Arial"/>
                <w:sz w:val="20"/>
              </w:rPr>
              <w:t>Delegatura</w:t>
            </w:r>
            <w:proofErr w:type="spellEnd"/>
            <w:r w:rsidRPr="0076002F">
              <w:rPr>
                <w:rFonts w:ascii="Arial" w:hAnsi="Arial" w:cs="Arial"/>
                <w:sz w:val="20"/>
              </w:rPr>
              <w:t xml:space="preserve"> para Riesgos de Mercado e Integridad</w:t>
            </w:r>
            <w:r w:rsidR="00800193" w:rsidRPr="0076002F">
              <w:rPr>
                <w:rFonts w:ascii="Arial" w:hAnsi="Arial" w:cs="Arial"/>
                <w:sz w:val="20"/>
              </w:rPr>
              <w:t>,</w:t>
            </w:r>
            <w:r w:rsidRPr="0076002F">
              <w:rPr>
                <w:rFonts w:ascii="Arial" w:hAnsi="Arial" w:cs="Arial"/>
                <w:sz w:val="20"/>
              </w:rPr>
              <w:t xml:space="preserve"> </w:t>
            </w:r>
            <w:proofErr w:type="spellStart"/>
            <w:r w:rsidRPr="0076002F">
              <w:rPr>
                <w:rFonts w:ascii="Arial" w:hAnsi="Arial" w:cs="Arial"/>
                <w:sz w:val="20"/>
              </w:rPr>
              <w:t>Delegatura</w:t>
            </w:r>
            <w:proofErr w:type="spellEnd"/>
            <w:r w:rsidRPr="0076002F">
              <w:rPr>
                <w:rFonts w:ascii="Arial" w:hAnsi="Arial" w:cs="Arial"/>
                <w:sz w:val="20"/>
              </w:rPr>
              <w:t xml:space="preserve"> para Intermediarios </w:t>
            </w:r>
            <w:r w:rsidR="000572A8" w:rsidRPr="0076002F">
              <w:rPr>
                <w:rFonts w:ascii="Arial" w:hAnsi="Arial" w:cs="Arial"/>
                <w:sz w:val="20"/>
              </w:rPr>
              <w:t>de valores y otros agentes.</w:t>
            </w:r>
          </w:p>
        </w:tc>
      </w:tr>
    </w:tbl>
    <w:p w:rsidR="00847CF9" w:rsidRPr="0076002F" w:rsidRDefault="00847CF9" w:rsidP="0076002F">
      <w:pPr>
        <w:jc w:val="both"/>
        <w:rPr>
          <w:rFonts w:ascii="Arial" w:hAnsi="Arial" w:cs="Arial"/>
          <w:b/>
          <w:sz w:val="20"/>
        </w:rPr>
      </w:pPr>
    </w:p>
    <w:p w:rsidR="00847CF9" w:rsidRPr="0076002F" w:rsidRDefault="00847CF9" w:rsidP="0076002F">
      <w:pPr>
        <w:jc w:val="both"/>
        <w:outlineLvl w:val="0"/>
        <w:rPr>
          <w:rFonts w:ascii="Arial" w:hAnsi="Arial" w:cs="Arial"/>
          <w:b/>
          <w:sz w:val="20"/>
        </w:rPr>
      </w:pPr>
      <w:r w:rsidRPr="0076002F">
        <w:rPr>
          <w:rFonts w:ascii="Arial" w:hAnsi="Arial" w:cs="Arial"/>
          <w:b/>
          <w:sz w:val="20"/>
        </w:rPr>
        <w:t>INSTRUCTIVO:</w:t>
      </w:r>
    </w:p>
    <w:p w:rsidR="00847CF9" w:rsidRPr="0076002F" w:rsidRDefault="00847CF9" w:rsidP="0076002F">
      <w:pPr>
        <w:jc w:val="both"/>
        <w:rPr>
          <w:rFonts w:ascii="Arial" w:hAnsi="Arial" w:cs="Arial"/>
          <w:b/>
          <w:sz w:val="20"/>
        </w:rPr>
      </w:pPr>
    </w:p>
    <w:p w:rsidR="00847CF9" w:rsidRPr="0076002F" w:rsidRDefault="00847CF9" w:rsidP="0076002F">
      <w:pPr>
        <w:jc w:val="both"/>
        <w:outlineLvl w:val="0"/>
        <w:rPr>
          <w:rFonts w:ascii="Arial" w:hAnsi="Arial" w:cs="Arial"/>
          <w:b/>
          <w:sz w:val="20"/>
        </w:rPr>
      </w:pPr>
      <w:r w:rsidRPr="0076002F">
        <w:rPr>
          <w:rFonts w:ascii="Arial" w:hAnsi="Arial" w:cs="Arial"/>
          <w:b/>
          <w:sz w:val="20"/>
        </w:rPr>
        <w:t>ENCABEZADO</w:t>
      </w:r>
    </w:p>
    <w:p w:rsidR="00847CF9" w:rsidRPr="0076002F" w:rsidRDefault="00847CF9" w:rsidP="0076002F">
      <w:pPr>
        <w:jc w:val="both"/>
        <w:rPr>
          <w:rFonts w:ascii="Arial" w:hAnsi="Arial" w:cs="Arial"/>
          <w:b/>
          <w:sz w:val="20"/>
        </w:rPr>
      </w:pPr>
    </w:p>
    <w:p w:rsidR="002441D9" w:rsidRDefault="007F0EE3" w:rsidP="0076002F">
      <w:pPr>
        <w:jc w:val="both"/>
        <w:rPr>
          <w:rFonts w:ascii="Arial" w:hAnsi="Arial" w:cs="Arial"/>
          <w:sz w:val="20"/>
        </w:rPr>
      </w:pPr>
      <w:r w:rsidRPr="0076002F">
        <w:rPr>
          <w:rFonts w:ascii="Arial" w:hAnsi="Arial" w:cs="Arial"/>
          <w:b/>
          <w:sz w:val="20"/>
        </w:rPr>
        <w:t>SOCIEDAD COMISIONISTA REPORTANTE</w:t>
      </w:r>
      <w:r w:rsidR="00847CF9" w:rsidRPr="0076002F">
        <w:rPr>
          <w:rFonts w:ascii="Arial" w:hAnsi="Arial" w:cs="Arial"/>
          <w:sz w:val="20"/>
        </w:rPr>
        <w:t xml:space="preserve">: Identificación de </w:t>
      </w:r>
      <w:smartTag w:uri="urn:schemas-microsoft-com:office:smarttags" w:element="PersonName">
        <w:smartTagPr>
          <w:attr w:name="ProductID" w:val="la Sociedad Comisionista"/>
        </w:smartTagPr>
        <w:smartTag w:uri="urn:schemas-microsoft-com:office:smarttags" w:element="PersonName">
          <w:smartTagPr>
            <w:attr w:name="ProductID" w:val="la Sociedad"/>
          </w:smartTagPr>
          <w:r w:rsidR="00847CF9" w:rsidRPr="0076002F">
            <w:rPr>
              <w:rFonts w:ascii="Arial" w:hAnsi="Arial" w:cs="Arial"/>
              <w:sz w:val="20"/>
            </w:rPr>
            <w:t xml:space="preserve">la </w:t>
          </w:r>
          <w:r w:rsidRPr="0076002F">
            <w:rPr>
              <w:rFonts w:ascii="Arial" w:hAnsi="Arial" w:cs="Arial"/>
              <w:sz w:val="20"/>
            </w:rPr>
            <w:t>Sociedad</w:t>
          </w:r>
        </w:smartTag>
        <w:r w:rsidR="00DE618B" w:rsidRPr="0076002F">
          <w:rPr>
            <w:rFonts w:ascii="Arial" w:hAnsi="Arial" w:cs="Arial"/>
            <w:sz w:val="20"/>
          </w:rPr>
          <w:t xml:space="preserve"> C</w:t>
        </w:r>
        <w:r w:rsidRPr="0076002F">
          <w:rPr>
            <w:rFonts w:ascii="Arial" w:hAnsi="Arial" w:cs="Arial"/>
            <w:sz w:val="20"/>
          </w:rPr>
          <w:t>omisionista</w:t>
        </w:r>
      </w:smartTag>
      <w:r w:rsidR="00DE618B" w:rsidRPr="0076002F">
        <w:rPr>
          <w:rFonts w:ascii="Arial" w:hAnsi="Arial" w:cs="Arial"/>
          <w:sz w:val="20"/>
        </w:rPr>
        <w:t xml:space="preserve"> de Bolsa de V</w:t>
      </w:r>
      <w:r w:rsidRPr="0076002F">
        <w:rPr>
          <w:rFonts w:ascii="Arial" w:hAnsi="Arial" w:cs="Arial"/>
          <w:sz w:val="20"/>
        </w:rPr>
        <w:t xml:space="preserve">alores </w:t>
      </w:r>
      <w:proofErr w:type="spellStart"/>
      <w:r w:rsidRPr="0076002F">
        <w:rPr>
          <w:rFonts w:ascii="Arial" w:hAnsi="Arial" w:cs="Arial"/>
          <w:sz w:val="20"/>
        </w:rPr>
        <w:t>reportante</w:t>
      </w:r>
      <w:proofErr w:type="spellEnd"/>
      <w:r w:rsidR="00847CF9" w:rsidRPr="0076002F">
        <w:rPr>
          <w:rFonts w:ascii="Arial" w:hAnsi="Arial" w:cs="Arial"/>
          <w:sz w:val="20"/>
        </w:rPr>
        <w:t xml:space="preserve"> que diligencia esta proforma. Con </w:t>
      </w:r>
      <w:r w:rsidR="00DE618B" w:rsidRPr="0076002F">
        <w:rPr>
          <w:rFonts w:ascii="Arial" w:hAnsi="Arial" w:cs="Arial"/>
          <w:sz w:val="20"/>
        </w:rPr>
        <w:t>tal</w:t>
      </w:r>
      <w:r w:rsidR="00847CF9" w:rsidRPr="0076002F">
        <w:rPr>
          <w:rFonts w:ascii="Arial" w:hAnsi="Arial" w:cs="Arial"/>
          <w:sz w:val="20"/>
        </w:rPr>
        <w:t xml:space="preserve"> fin indique el código del tipo de entidad al que pertenece, el código de la entidad asignado por </w:t>
      </w:r>
      <w:smartTag w:uri="urn:schemas-microsoft-com:office:smarttags" w:element="PersonName">
        <w:smartTagPr>
          <w:attr w:name="ProductID" w:val="la Superintendencia Financiera"/>
        </w:smartTagPr>
        <w:r w:rsidR="00847CF9" w:rsidRPr="0076002F">
          <w:rPr>
            <w:rFonts w:ascii="Arial" w:hAnsi="Arial" w:cs="Arial"/>
            <w:sz w:val="20"/>
          </w:rPr>
          <w:t>la Superintendencia Financiera</w:t>
        </w:r>
      </w:smartTag>
      <w:r w:rsidR="00847CF9" w:rsidRPr="0076002F">
        <w:rPr>
          <w:rFonts w:ascii="Arial" w:hAnsi="Arial" w:cs="Arial"/>
          <w:sz w:val="20"/>
        </w:rPr>
        <w:t xml:space="preserve"> de Colombia y el nombre o sigla de la entidad.</w:t>
      </w:r>
      <w:r w:rsidR="007E1649" w:rsidRPr="0076002F">
        <w:rPr>
          <w:rFonts w:ascii="Arial" w:hAnsi="Arial" w:cs="Arial"/>
          <w:sz w:val="20"/>
        </w:rPr>
        <w:t xml:space="preserve"> </w:t>
      </w:r>
    </w:p>
    <w:p w:rsidR="00B24A91" w:rsidRDefault="00B24A91" w:rsidP="0076002F">
      <w:pPr>
        <w:jc w:val="both"/>
        <w:rPr>
          <w:rFonts w:ascii="Arial" w:hAnsi="Arial" w:cs="Arial"/>
          <w:sz w:val="20"/>
        </w:rPr>
      </w:pPr>
    </w:p>
    <w:p w:rsidR="00B24A91" w:rsidRPr="0076002F" w:rsidRDefault="00B24A91" w:rsidP="0076002F">
      <w:pPr>
        <w:jc w:val="both"/>
        <w:rPr>
          <w:rFonts w:ascii="Arial" w:hAnsi="Arial" w:cs="Arial"/>
          <w:sz w:val="20"/>
        </w:rPr>
      </w:pPr>
      <w:r w:rsidRPr="00B24A91">
        <w:rPr>
          <w:rFonts w:ascii="Arial" w:hAnsi="Arial" w:cs="Arial"/>
          <w:b/>
          <w:sz w:val="20"/>
        </w:rPr>
        <w:t>AGENTE COLOCADOR DE OMAS (ACO)</w:t>
      </w:r>
      <w:r w:rsidR="00A619BF">
        <w:rPr>
          <w:rFonts w:ascii="Arial" w:hAnsi="Arial" w:cs="Arial"/>
          <w:sz w:val="20"/>
        </w:rPr>
        <w:t>: Reporte 1 s</w:t>
      </w:r>
      <w:r>
        <w:rPr>
          <w:rFonts w:ascii="Arial" w:hAnsi="Arial" w:cs="Arial"/>
          <w:sz w:val="20"/>
        </w:rPr>
        <w:t>i es ACO,</w:t>
      </w:r>
      <w:r w:rsidR="00A619BF">
        <w:rPr>
          <w:rFonts w:ascii="Arial" w:hAnsi="Arial" w:cs="Arial"/>
          <w:sz w:val="20"/>
        </w:rPr>
        <w:t xml:space="preserve"> o </w:t>
      </w:r>
      <w:r>
        <w:rPr>
          <w:rFonts w:ascii="Arial" w:hAnsi="Arial" w:cs="Arial"/>
          <w:sz w:val="20"/>
        </w:rPr>
        <w:t xml:space="preserve"> 0 en caso contrario</w:t>
      </w:r>
    </w:p>
    <w:p w:rsidR="00847CF9" w:rsidRPr="0076002F" w:rsidRDefault="00847CF9" w:rsidP="0076002F">
      <w:pPr>
        <w:jc w:val="both"/>
        <w:rPr>
          <w:rFonts w:ascii="Arial" w:hAnsi="Arial" w:cs="Arial"/>
          <w:sz w:val="20"/>
        </w:rPr>
      </w:pPr>
    </w:p>
    <w:p w:rsidR="00847CF9" w:rsidRPr="0076002F" w:rsidRDefault="00847CF9" w:rsidP="0076002F">
      <w:pPr>
        <w:jc w:val="both"/>
        <w:rPr>
          <w:rFonts w:ascii="Arial" w:hAnsi="Arial" w:cs="Arial"/>
          <w:sz w:val="20"/>
        </w:rPr>
      </w:pPr>
      <w:r w:rsidRPr="0076002F">
        <w:rPr>
          <w:rFonts w:ascii="Arial" w:hAnsi="Arial" w:cs="Arial"/>
          <w:b/>
          <w:sz w:val="20"/>
        </w:rPr>
        <w:t>FECHA DE CORTE:</w:t>
      </w:r>
      <w:r w:rsidRPr="0076002F">
        <w:rPr>
          <w:rFonts w:ascii="Arial" w:hAnsi="Arial" w:cs="Arial"/>
          <w:sz w:val="20"/>
        </w:rPr>
        <w:t xml:space="preserve"> Se debe señalar bajo el formato DDMMAAAA (día, mes, año), la fecha de corte a la que corresponde la información reportada.</w:t>
      </w:r>
    </w:p>
    <w:p w:rsidR="00847CF9" w:rsidRPr="0076002F" w:rsidRDefault="00847CF9" w:rsidP="0076002F">
      <w:pPr>
        <w:jc w:val="both"/>
        <w:rPr>
          <w:rFonts w:ascii="Arial" w:hAnsi="Arial" w:cs="Arial"/>
          <w:sz w:val="20"/>
        </w:rPr>
      </w:pPr>
    </w:p>
    <w:p w:rsidR="00847CF9" w:rsidRPr="0076002F" w:rsidRDefault="00847CF9" w:rsidP="0076002F">
      <w:pPr>
        <w:jc w:val="both"/>
        <w:outlineLvl w:val="0"/>
        <w:rPr>
          <w:rFonts w:ascii="Arial" w:hAnsi="Arial" w:cs="Arial"/>
          <w:b/>
          <w:sz w:val="20"/>
        </w:rPr>
      </w:pPr>
      <w:r w:rsidRPr="0076002F">
        <w:rPr>
          <w:rFonts w:ascii="Arial" w:hAnsi="Arial" w:cs="Arial"/>
          <w:b/>
          <w:sz w:val="20"/>
        </w:rPr>
        <w:t>GENERALIDADES:</w:t>
      </w:r>
    </w:p>
    <w:p w:rsidR="00C236E7" w:rsidRPr="0076002F" w:rsidRDefault="00C236E7" w:rsidP="0076002F">
      <w:pPr>
        <w:jc w:val="both"/>
        <w:outlineLvl w:val="0"/>
        <w:rPr>
          <w:rFonts w:ascii="Arial" w:hAnsi="Arial" w:cs="Arial"/>
          <w:sz w:val="20"/>
        </w:rPr>
      </w:pPr>
    </w:p>
    <w:p w:rsidR="007F0EE3" w:rsidRPr="0076002F" w:rsidRDefault="00C236E7" w:rsidP="0076002F">
      <w:pPr>
        <w:jc w:val="both"/>
        <w:outlineLvl w:val="0"/>
        <w:rPr>
          <w:rFonts w:ascii="Arial" w:hAnsi="Arial" w:cs="Arial"/>
          <w:sz w:val="20"/>
        </w:rPr>
      </w:pPr>
      <w:r w:rsidRPr="0076002F">
        <w:rPr>
          <w:rFonts w:ascii="Arial" w:hAnsi="Arial" w:cs="Arial"/>
          <w:sz w:val="20"/>
        </w:rPr>
        <w:t>La presente proforma debe ser remitida con la firma digital del Representante Legal</w:t>
      </w:r>
    </w:p>
    <w:p w:rsidR="00C236E7" w:rsidRPr="0076002F" w:rsidRDefault="00C236E7" w:rsidP="0076002F">
      <w:pPr>
        <w:jc w:val="both"/>
        <w:outlineLvl w:val="0"/>
        <w:rPr>
          <w:rFonts w:ascii="Arial" w:hAnsi="Arial" w:cs="Arial"/>
          <w:sz w:val="20"/>
        </w:rPr>
      </w:pPr>
    </w:p>
    <w:p w:rsidR="0076002F" w:rsidRPr="00326DC5" w:rsidRDefault="00847CF9" w:rsidP="0076002F">
      <w:pPr>
        <w:jc w:val="both"/>
        <w:outlineLvl w:val="0"/>
        <w:rPr>
          <w:rFonts w:ascii="Arial" w:hAnsi="Arial" w:cs="Arial"/>
          <w:sz w:val="20"/>
        </w:rPr>
      </w:pPr>
      <w:r w:rsidRPr="0076002F">
        <w:rPr>
          <w:rFonts w:ascii="Arial" w:hAnsi="Arial" w:cs="Arial"/>
          <w:sz w:val="20"/>
        </w:rPr>
        <w:t>La información se deberá reportar en miles de pesos</w:t>
      </w:r>
      <w:r w:rsidR="00A249AD" w:rsidRPr="0076002F">
        <w:rPr>
          <w:rFonts w:ascii="Arial" w:hAnsi="Arial" w:cs="Arial"/>
          <w:sz w:val="20"/>
        </w:rPr>
        <w:t xml:space="preserve"> en moneda </w:t>
      </w:r>
      <w:r w:rsidR="0051171C" w:rsidRPr="0076002F">
        <w:rPr>
          <w:rFonts w:ascii="Arial" w:hAnsi="Arial" w:cs="Arial"/>
          <w:sz w:val="20"/>
        </w:rPr>
        <w:t>legal</w:t>
      </w:r>
      <w:r w:rsidRPr="0076002F">
        <w:rPr>
          <w:rFonts w:ascii="Arial" w:hAnsi="Arial" w:cs="Arial"/>
          <w:sz w:val="20"/>
        </w:rPr>
        <w:t>.</w:t>
      </w:r>
      <w:r w:rsidR="005C661C" w:rsidRPr="0076002F">
        <w:rPr>
          <w:rFonts w:ascii="Arial" w:hAnsi="Arial" w:cs="Arial"/>
          <w:sz w:val="20"/>
        </w:rPr>
        <w:t xml:space="preserve"> </w:t>
      </w:r>
      <w:r w:rsidR="0076002F" w:rsidRPr="0076002F">
        <w:rPr>
          <w:rFonts w:ascii="Arial" w:hAnsi="Arial" w:cs="Arial"/>
          <w:sz w:val="20"/>
        </w:rPr>
        <w:t xml:space="preserve">En este sentido, cuando exista información a reportar que se </w:t>
      </w:r>
      <w:r w:rsidR="0076002F" w:rsidRPr="00326DC5">
        <w:rPr>
          <w:rFonts w:ascii="Arial" w:hAnsi="Arial" w:cs="Arial"/>
          <w:sz w:val="20"/>
        </w:rPr>
        <w:t xml:space="preserve">encuentre denominada en moneda extranjera, deberá ser expresada en pesos para su reporte, </w:t>
      </w:r>
      <w:r w:rsidR="007C0870" w:rsidRPr="00326DC5">
        <w:rPr>
          <w:rFonts w:ascii="Arial" w:hAnsi="Arial" w:cs="Arial"/>
          <w:sz w:val="20"/>
        </w:rPr>
        <w:t xml:space="preserve">de </w:t>
      </w:r>
      <w:r w:rsidR="00D209E2" w:rsidRPr="00326DC5">
        <w:rPr>
          <w:rFonts w:ascii="Arial" w:hAnsi="Arial" w:cs="Arial"/>
          <w:sz w:val="20"/>
        </w:rPr>
        <w:t xml:space="preserve">acuerdo con las disposiciones del Capítulo I de La </w:t>
      </w:r>
      <w:r w:rsidR="007C0870" w:rsidRPr="00326DC5">
        <w:rPr>
          <w:rFonts w:ascii="Arial" w:hAnsi="Arial" w:cs="Arial"/>
          <w:sz w:val="20"/>
        </w:rPr>
        <w:t>Circular Básica</w:t>
      </w:r>
      <w:r w:rsidR="00D209E2" w:rsidRPr="00326DC5">
        <w:rPr>
          <w:rFonts w:ascii="Arial" w:hAnsi="Arial" w:cs="Arial"/>
          <w:sz w:val="20"/>
        </w:rPr>
        <w:t xml:space="preserve"> C</w:t>
      </w:r>
      <w:r w:rsidR="007C0870" w:rsidRPr="00326DC5">
        <w:rPr>
          <w:rFonts w:ascii="Arial" w:hAnsi="Arial" w:cs="Arial"/>
          <w:sz w:val="20"/>
        </w:rPr>
        <w:t xml:space="preserve">ontable y Financiera (CBCF), </w:t>
      </w:r>
      <w:r w:rsidR="0076002F" w:rsidRPr="00326DC5">
        <w:rPr>
          <w:rFonts w:ascii="Arial" w:hAnsi="Arial" w:cs="Arial"/>
          <w:sz w:val="20"/>
        </w:rPr>
        <w:t xml:space="preserve">utilizando la </w:t>
      </w:r>
      <w:r w:rsidR="007C0870" w:rsidRPr="00326DC5">
        <w:rPr>
          <w:rFonts w:ascii="Arial" w:hAnsi="Arial" w:cs="Arial"/>
          <w:sz w:val="20"/>
        </w:rPr>
        <w:t>Tasa Representativa del mercado (TRM)</w:t>
      </w:r>
      <w:r w:rsidR="0076002F" w:rsidRPr="00326DC5">
        <w:rPr>
          <w:rFonts w:ascii="Arial" w:hAnsi="Arial" w:cs="Arial"/>
          <w:sz w:val="20"/>
        </w:rPr>
        <w:t xml:space="preserve"> </w:t>
      </w:r>
      <w:r w:rsidR="007C0870" w:rsidRPr="00326DC5">
        <w:rPr>
          <w:rFonts w:ascii="Arial" w:hAnsi="Arial" w:cs="Arial"/>
          <w:sz w:val="20"/>
        </w:rPr>
        <w:t>calculada el día de</w:t>
      </w:r>
      <w:r w:rsidR="0076002F" w:rsidRPr="00326DC5">
        <w:rPr>
          <w:rFonts w:ascii="Arial" w:hAnsi="Arial" w:cs="Arial"/>
          <w:sz w:val="20"/>
        </w:rPr>
        <w:t xml:space="preserve"> la fecha de corte.</w:t>
      </w:r>
    </w:p>
    <w:p w:rsidR="00847CF9" w:rsidRPr="0076002F" w:rsidRDefault="00847CF9" w:rsidP="0076002F">
      <w:pPr>
        <w:jc w:val="both"/>
        <w:rPr>
          <w:rFonts w:ascii="Arial" w:hAnsi="Arial" w:cs="Arial"/>
          <w:sz w:val="20"/>
        </w:rPr>
      </w:pPr>
    </w:p>
    <w:p w:rsidR="00847CF9" w:rsidRPr="0076002F" w:rsidRDefault="00847CF9" w:rsidP="0076002F">
      <w:pPr>
        <w:jc w:val="both"/>
        <w:rPr>
          <w:rFonts w:ascii="Arial" w:hAnsi="Arial" w:cs="Arial"/>
          <w:sz w:val="20"/>
        </w:rPr>
      </w:pPr>
      <w:r w:rsidRPr="0076002F">
        <w:rPr>
          <w:rFonts w:ascii="Arial" w:hAnsi="Arial" w:cs="Arial"/>
          <w:sz w:val="20"/>
        </w:rPr>
        <w:t>Las subcuentas, filas o columnas que no contengan valor o no apliquen, no se deben reportar en el archivo, a menos que el instructivo indique que se reporten en cero o con otro valor.</w:t>
      </w:r>
    </w:p>
    <w:p w:rsidR="00A249AD" w:rsidRPr="0076002F" w:rsidRDefault="00A249AD" w:rsidP="0076002F">
      <w:pPr>
        <w:jc w:val="both"/>
        <w:rPr>
          <w:rFonts w:ascii="Arial" w:hAnsi="Arial" w:cs="Arial"/>
          <w:spacing w:val="0"/>
          <w:sz w:val="20"/>
        </w:rPr>
      </w:pPr>
    </w:p>
    <w:p w:rsidR="00847CF9" w:rsidRPr="0076002F" w:rsidRDefault="00A249AD" w:rsidP="0076002F">
      <w:pPr>
        <w:jc w:val="both"/>
        <w:rPr>
          <w:rFonts w:ascii="Arial" w:hAnsi="Arial" w:cs="Arial"/>
          <w:sz w:val="20"/>
        </w:rPr>
      </w:pPr>
      <w:r w:rsidRPr="0076002F">
        <w:rPr>
          <w:rFonts w:ascii="Arial" w:hAnsi="Arial" w:cs="Arial"/>
          <w:spacing w:val="0"/>
          <w:sz w:val="20"/>
        </w:rPr>
        <w:t>La información a reportar deberá ser consistente con las cifras registradas en el PUC.</w:t>
      </w:r>
    </w:p>
    <w:p w:rsidR="00A249AD" w:rsidRPr="0076002F" w:rsidRDefault="00A249AD" w:rsidP="0076002F">
      <w:pPr>
        <w:jc w:val="both"/>
        <w:rPr>
          <w:rFonts w:ascii="Arial" w:hAnsi="Arial" w:cs="Arial"/>
          <w:sz w:val="20"/>
        </w:rPr>
      </w:pPr>
    </w:p>
    <w:p w:rsidR="00EF5C94" w:rsidRPr="0076002F" w:rsidRDefault="00EF5C94" w:rsidP="0076002F">
      <w:pPr>
        <w:jc w:val="both"/>
        <w:rPr>
          <w:rFonts w:ascii="Arial" w:hAnsi="Arial" w:cs="Arial"/>
          <w:sz w:val="20"/>
        </w:rPr>
      </w:pPr>
      <w:r w:rsidRPr="0076002F">
        <w:rPr>
          <w:rFonts w:ascii="Arial" w:hAnsi="Arial" w:cs="Arial"/>
          <w:spacing w:val="0"/>
          <w:sz w:val="20"/>
        </w:rPr>
        <w:t xml:space="preserve">La información se deberá reportar para los días hábiles. </w:t>
      </w:r>
    </w:p>
    <w:p w:rsidR="00D36F0F" w:rsidRPr="0076002F" w:rsidRDefault="00D36F0F" w:rsidP="0076002F">
      <w:pPr>
        <w:jc w:val="both"/>
        <w:rPr>
          <w:rFonts w:ascii="Arial" w:hAnsi="Arial" w:cs="Arial"/>
          <w:sz w:val="20"/>
        </w:rPr>
      </w:pPr>
    </w:p>
    <w:p w:rsidR="00847CF9" w:rsidRPr="0076002F" w:rsidRDefault="00847CF9" w:rsidP="0076002F">
      <w:pPr>
        <w:jc w:val="both"/>
        <w:outlineLvl w:val="0"/>
        <w:rPr>
          <w:rFonts w:ascii="Arial" w:hAnsi="Arial" w:cs="Arial"/>
          <w:b/>
          <w:sz w:val="20"/>
        </w:rPr>
      </w:pPr>
      <w:r w:rsidRPr="0076002F">
        <w:rPr>
          <w:rFonts w:ascii="Arial" w:hAnsi="Arial" w:cs="Arial"/>
          <w:b/>
          <w:sz w:val="20"/>
        </w:rPr>
        <w:t>CUERPO DEL FORMATO:</w:t>
      </w:r>
    </w:p>
    <w:p w:rsidR="0058181F" w:rsidRPr="0076002F" w:rsidRDefault="0058181F" w:rsidP="0076002F">
      <w:pPr>
        <w:jc w:val="both"/>
        <w:outlineLvl w:val="0"/>
        <w:rPr>
          <w:rFonts w:ascii="Arial" w:hAnsi="Arial" w:cs="Arial"/>
          <w:spacing w:val="0"/>
          <w:sz w:val="20"/>
        </w:rPr>
      </w:pPr>
    </w:p>
    <w:p w:rsidR="00CE4D94" w:rsidRPr="0076002F" w:rsidRDefault="0058181F" w:rsidP="0076002F">
      <w:pPr>
        <w:jc w:val="both"/>
        <w:outlineLvl w:val="0"/>
        <w:rPr>
          <w:rFonts w:ascii="Arial" w:hAnsi="Arial" w:cs="Arial"/>
          <w:sz w:val="20"/>
        </w:rPr>
      </w:pPr>
      <w:r w:rsidRPr="0076002F">
        <w:rPr>
          <w:rFonts w:ascii="Arial" w:hAnsi="Arial" w:cs="Arial"/>
          <w:spacing w:val="0"/>
          <w:sz w:val="20"/>
        </w:rPr>
        <w:t>Para la unidad de captura 01, columna 1, se deberá</w:t>
      </w:r>
      <w:r w:rsidRPr="0076002F">
        <w:rPr>
          <w:rFonts w:ascii="Arial" w:hAnsi="Arial" w:cs="Arial"/>
          <w:sz w:val="20"/>
        </w:rPr>
        <w:t xml:space="preserve"> registrar exclusivamente la información correspondiente al </w:t>
      </w:r>
      <w:r w:rsidR="0076002F" w:rsidRPr="0076002F">
        <w:rPr>
          <w:rFonts w:ascii="Arial" w:hAnsi="Arial" w:cs="Arial"/>
          <w:sz w:val="20"/>
        </w:rPr>
        <w:t xml:space="preserve">cierre del </w:t>
      </w:r>
      <w:r w:rsidRPr="0076002F">
        <w:rPr>
          <w:rFonts w:ascii="Arial" w:hAnsi="Arial" w:cs="Arial"/>
          <w:sz w:val="20"/>
        </w:rPr>
        <w:t>día de corte.</w:t>
      </w:r>
      <w:r w:rsidR="0076002F" w:rsidRPr="0076002F">
        <w:rPr>
          <w:rFonts w:ascii="Arial" w:hAnsi="Arial" w:cs="Arial"/>
          <w:sz w:val="20"/>
        </w:rPr>
        <w:t xml:space="preserve"> Los valores registrados deben estar ajustados por los </w:t>
      </w:r>
      <w:r w:rsidR="00397EDA">
        <w:rPr>
          <w:rFonts w:ascii="Arial" w:hAnsi="Arial" w:cs="Arial"/>
          <w:sz w:val="20"/>
        </w:rPr>
        <w:t>‘</w:t>
      </w:r>
      <w:proofErr w:type="spellStart"/>
      <w:r w:rsidR="00397EDA" w:rsidRPr="00397EDA">
        <w:rPr>
          <w:rFonts w:ascii="Arial" w:hAnsi="Arial" w:cs="Arial"/>
          <w:i/>
          <w:sz w:val="20"/>
        </w:rPr>
        <w:t>haircuts</w:t>
      </w:r>
      <w:proofErr w:type="spellEnd"/>
      <w:r w:rsidR="00397EDA">
        <w:rPr>
          <w:rFonts w:ascii="Arial" w:hAnsi="Arial" w:cs="Arial"/>
          <w:i/>
          <w:sz w:val="20"/>
        </w:rPr>
        <w:t xml:space="preserve">’ </w:t>
      </w:r>
      <w:r w:rsidR="00397EDA" w:rsidRPr="00397EDA">
        <w:rPr>
          <w:rFonts w:ascii="Arial" w:hAnsi="Arial" w:cs="Arial"/>
          <w:sz w:val="20"/>
        </w:rPr>
        <w:t xml:space="preserve">o </w:t>
      </w:r>
      <w:r w:rsidR="0076002F" w:rsidRPr="0076002F">
        <w:rPr>
          <w:rFonts w:ascii="Arial" w:hAnsi="Arial" w:cs="Arial"/>
          <w:sz w:val="20"/>
        </w:rPr>
        <w:t xml:space="preserve">factores de descuento </w:t>
      </w:r>
      <w:r w:rsidR="00397EDA">
        <w:rPr>
          <w:rFonts w:ascii="Arial" w:hAnsi="Arial" w:cs="Arial"/>
          <w:sz w:val="20"/>
        </w:rPr>
        <w:t xml:space="preserve">correspondientes </w:t>
      </w:r>
      <w:r w:rsidR="0076002F" w:rsidRPr="0076002F">
        <w:rPr>
          <w:rFonts w:ascii="Arial" w:hAnsi="Arial" w:cs="Arial"/>
          <w:sz w:val="20"/>
        </w:rPr>
        <w:t>establecidos en el numeral 2.1.</w:t>
      </w:r>
      <w:r w:rsidR="00397EDA">
        <w:rPr>
          <w:rFonts w:ascii="Arial" w:hAnsi="Arial" w:cs="Arial"/>
          <w:sz w:val="20"/>
        </w:rPr>
        <w:t>3</w:t>
      </w:r>
      <w:r w:rsidR="0076002F" w:rsidRPr="0076002F">
        <w:rPr>
          <w:rFonts w:ascii="Arial" w:hAnsi="Arial" w:cs="Arial"/>
          <w:sz w:val="20"/>
        </w:rPr>
        <w:t xml:space="preserve"> del Anexo 2 del Capítulo VI de la Circular Básica Contable y Financiera.</w:t>
      </w:r>
    </w:p>
    <w:p w:rsidR="0058181F" w:rsidRPr="0076002F" w:rsidRDefault="0058181F" w:rsidP="0076002F">
      <w:pPr>
        <w:jc w:val="both"/>
        <w:outlineLvl w:val="0"/>
        <w:rPr>
          <w:rFonts w:ascii="Arial" w:hAnsi="Arial" w:cs="Arial"/>
          <w:spacing w:val="0"/>
          <w:sz w:val="20"/>
        </w:rPr>
      </w:pPr>
    </w:p>
    <w:p w:rsidR="00CE4D94" w:rsidRPr="0076002F" w:rsidRDefault="00CE4D94" w:rsidP="0076002F">
      <w:pPr>
        <w:jc w:val="both"/>
        <w:outlineLvl w:val="0"/>
        <w:rPr>
          <w:rFonts w:ascii="Arial" w:hAnsi="Arial" w:cs="Arial"/>
          <w:spacing w:val="0"/>
          <w:sz w:val="20"/>
        </w:rPr>
      </w:pPr>
      <w:r w:rsidRPr="0076002F">
        <w:rPr>
          <w:rFonts w:ascii="Arial" w:hAnsi="Arial" w:cs="Arial"/>
          <w:spacing w:val="0"/>
          <w:sz w:val="20"/>
        </w:rPr>
        <w:t>Para las unidades de captura, 02, 03, 04, 05, 06</w:t>
      </w:r>
      <w:r w:rsidR="0076002F" w:rsidRPr="0076002F">
        <w:rPr>
          <w:rFonts w:ascii="Arial" w:hAnsi="Arial" w:cs="Arial"/>
          <w:spacing w:val="0"/>
          <w:sz w:val="20"/>
        </w:rPr>
        <w:t xml:space="preserve"> y</w:t>
      </w:r>
      <w:r w:rsidRPr="0076002F">
        <w:rPr>
          <w:rFonts w:ascii="Arial" w:hAnsi="Arial" w:cs="Arial"/>
          <w:spacing w:val="0"/>
          <w:sz w:val="20"/>
        </w:rPr>
        <w:t xml:space="preserve"> 07, en la columna 1, se debe</w:t>
      </w:r>
      <w:r w:rsidR="00A619BF">
        <w:rPr>
          <w:rFonts w:ascii="Arial" w:hAnsi="Arial" w:cs="Arial"/>
          <w:spacing w:val="0"/>
          <w:sz w:val="20"/>
        </w:rPr>
        <w:t>n</w:t>
      </w:r>
      <w:r w:rsidRPr="0076002F">
        <w:rPr>
          <w:rFonts w:ascii="Arial" w:hAnsi="Arial" w:cs="Arial"/>
          <w:spacing w:val="0"/>
          <w:sz w:val="20"/>
        </w:rPr>
        <w:t xml:space="preserve"> registrar las operaciones u obligaciones </w:t>
      </w:r>
      <w:r w:rsidR="0076002F" w:rsidRPr="0076002F">
        <w:rPr>
          <w:rFonts w:ascii="Arial" w:hAnsi="Arial" w:cs="Arial"/>
          <w:spacing w:val="0"/>
          <w:sz w:val="20"/>
        </w:rPr>
        <w:t xml:space="preserve">con cumplimiento </w:t>
      </w:r>
      <w:r w:rsidRPr="0076002F">
        <w:rPr>
          <w:rFonts w:ascii="Arial" w:hAnsi="Arial" w:cs="Arial"/>
          <w:spacing w:val="0"/>
          <w:sz w:val="20"/>
        </w:rPr>
        <w:t xml:space="preserve">al día </w:t>
      </w:r>
      <w:r w:rsidR="0076002F" w:rsidRPr="0076002F">
        <w:rPr>
          <w:rFonts w:ascii="Arial" w:hAnsi="Arial" w:cs="Arial"/>
          <w:spacing w:val="0"/>
          <w:sz w:val="20"/>
        </w:rPr>
        <w:t xml:space="preserve">hábil siguiente a la fecha </w:t>
      </w:r>
      <w:r w:rsidR="00C1689B" w:rsidRPr="0076002F">
        <w:rPr>
          <w:rFonts w:ascii="Arial" w:hAnsi="Arial" w:cs="Arial"/>
          <w:spacing w:val="0"/>
          <w:sz w:val="20"/>
        </w:rPr>
        <w:t>de corte</w:t>
      </w:r>
      <w:r w:rsidRPr="0076002F">
        <w:rPr>
          <w:rFonts w:ascii="Arial" w:hAnsi="Arial" w:cs="Arial"/>
          <w:spacing w:val="0"/>
          <w:sz w:val="20"/>
        </w:rPr>
        <w:t xml:space="preserve"> (día 1), en la columna 2</w:t>
      </w:r>
      <w:r w:rsidR="0076002F" w:rsidRPr="0076002F">
        <w:rPr>
          <w:rFonts w:ascii="Arial" w:hAnsi="Arial" w:cs="Arial"/>
          <w:spacing w:val="0"/>
          <w:sz w:val="20"/>
        </w:rPr>
        <w:t>,</w:t>
      </w:r>
      <w:r w:rsidRPr="0076002F">
        <w:rPr>
          <w:rFonts w:ascii="Arial" w:hAnsi="Arial" w:cs="Arial"/>
          <w:spacing w:val="0"/>
          <w:sz w:val="20"/>
        </w:rPr>
        <w:t xml:space="preserve"> las </w:t>
      </w:r>
      <w:r w:rsidRPr="0076002F">
        <w:rPr>
          <w:rFonts w:ascii="Arial" w:hAnsi="Arial" w:cs="Arial"/>
          <w:spacing w:val="0"/>
          <w:sz w:val="20"/>
        </w:rPr>
        <w:lastRenderedPageBreak/>
        <w:t xml:space="preserve">operaciones </w:t>
      </w:r>
      <w:r w:rsidR="0076002F" w:rsidRPr="0076002F">
        <w:rPr>
          <w:rFonts w:ascii="Arial" w:hAnsi="Arial" w:cs="Arial"/>
          <w:spacing w:val="0"/>
          <w:sz w:val="20"/>
        </w:rPr>
        <w:t>con cumplimiento entre el segundo día hábil a partir de la fecha de corte y hasta el séptimo día (7°) calendario a partir de la fecha de corte</w:t>
      </w:r>
      <w:r w:rsidRPr="0076002F">
        <w:rPr>
          <w:rFonts w:ascii="Arial" w:hAnsi="Arial" w:cs="Arial"/>
          <w:spacing w:val="0"/>
          <w:sz w:val="20"/>
        </w:rPr>
        <w:t xml:space="preserve">, en la columna 3 las operaciones </w:t>
      </w:r>
      <w:r w:rsidR="0076002F" w:rsidRPr="0076002F">
        <w:rPr>
          <w:rFonts w:ascii="Arial" w:hAnsi="Arial" w:cs="Arial"/>
          <w:spacing w:val="0"/>
          <w:sz w:val="20"/>
        </w:rPr>
        <w:t xml:space="preserve">con cumplimiento desde el octavo día (8º) hasta el trigésimo día (30º) calendario, contados desde la fecha de corte </w:t>
      </w:r>
      <w:r w:rsidRPr="0076002F">
        <w:rPr>
          <w:rFonts w:ascii="Arial" w:hAnsi="Arial" w:cs="Arial"/>
          <w:spacing w:val="0"/>
          <w:sz w:val="20"/>
        </w:rPr>
        <w:t xml:space="preserve">y en la columna 4 las operaciones </w:t>
      </w:r>
      <w:r w:rsidR="0076002F" w:rsidRPr="0076002F">
        <w:rPr>
          <w:rFonts w:ascii="Arial" w:hAnsi="Arial" w:cs="Arial"/>
          <w:spacing w:val="0"/>
          <w:sz w:val="20"/>
        </w:rPr>
        <w:t>con cumplimiento a partir del trigésimo primer día (31º) calendario, contados desde la fecha de corte</w:t>
      </w:r>
      <w:r w:rsidRPr="0076002F">
        <w:rPr>
          <w:rFonts w:ascii="Arial" w:hAnsi="Arial" w:cs="Arial"/>
          <w:spacing w:val="0"/>
          <w:sz w:val="20"/>
        </w:rPr>
        <w:t>.</w:t>
      </w:r>
    </w:p>
    <w:p w:rsidR="0076002F" w:rsidRPr="0076002F" w:rsidRDefault="0076002F" w:rsidP="0076002F">
      <w:pPr>
        <w:jc w:val="both"/>
        <w:outlineLvl w:val="0"/>
        <w:rPr>
          <w:rFonts w:ascii="Arial" w:hAnsi="Arial" w:cs="Arial"/>
          <w:spacing w:val="0"/>
          <w:sz w:val="20"/>
        </w:rPr>
      </w:pPr>
    </w:p>
    <w:p w:rsidR="0076002F" w:rsidRPr="0076002F" w:rsidRDefault="0076002F" w:rsidP="0076002F">
      <w:pPr>
        <w:jc w:val="both"/>
        <w:outlineLvl w:val="0"/>
        <w:rPr>
          <w:rFonts w:ascii="Arial" w:hAnsi="Arial" w:cs="Arial"/>
          <w:spacing w:val="0"/>
          <w:sz w:val="20"/>
        </w:rPr>
      </w:pPr>
      <w:r w:rsidRPr="0076002F">
        <w:rPr>
          <w:rFonts w:ascii="Arial" w:hAnsi="Arial" w:cs="Arial"/>
          <w:spacing w:val="0"/>
          <w:sz w:val="20"/>
        </w:rPr>
        <w:t>Para la unidad de captura 08, en la columna 1, se debe registrar el cálculo del IRL para el horizonte de un día hábil a partir de la fecha de corte; en la columna 2, el cálculo del IRL para el horizonte de siete (7) días a partir de la fecha de corte</w:t>
      </w:r>
      <w:r>
        <w:rPr>
          <w:rFonts w:ascii="Arial" w:hAnsi="Arial" w:cs="Arial"/>
          <w:spacing w:val="0"/>
          <w:sz w:val="20"/>
        </w:rPr>
        <w:t>.</w:t>
      </w:r>
    </w:p>
    <w:p w:rsidR="0076002F" w:rsidRPr="0076002F" w:rsidRDefault="0076002F" w:rsidP="0076002F">
      <w:pPr>
        <w:jc w:val="both"/>
        <w:outlineLvl w:val="0"/>
        <w:rPr>
          <w:rFonts w:ascii="Arial" w:hAnsi="Arial" w:cs="Arial"/>
          <w:b/>
          <w:spacing w:val="0"/>
          <w:sz w:val="20"/>
        </w:rPr>
      </w:pPr>
    </w:p>
    <w:p w:rsidR="00847CF9" w:rsidRPr="0076002F" w:rsidRDefault="00847CF9" w:rsidP="0076002F">
      <w:pPr>
        <w:jc w:val="both"/>
        <w:outlineLvl w:val="0"/>
        <w:rPr>
          <w:rFonts w:ascii="Arial" w:hAnsi="Arial" w:cs="Arial"/>
          <w:b/>
          <w:spacing w:val="0"/>
          <w:sz w:val="20"/>
        </w:rPr>
      </w:pPr>
      <w:r w:rsidRPr="0076002F">
        <w:rPr>
          <w:rFonts w:ascii="Arial" w:hAnsi="Arial" w:cs="Arial"/>
          <w:b/>
          <w:spacing w:val="0"/>
          <w:sz w:val="20"/>
        </w:rPr>
        <w:t>U</w:t>
      </w:r>
      <w:r w:rsidR="00D2617D" w:rsidRPr="0076002F">
        <w:rPr>
          <w:rFonts w:ascii="Arial" w:hAnsi="Arial" w:cs="Arial"/>
          <w:b/>
          <w:spacing w:val="0"/>
          <w:sz w:val="20"/>
        </w:rPr>
        <w:t>NIDAD DE CAPTURA 01</w:t>
      </w:r>
      <w:r w:rsidRPr="0076002F">
        <w:rPr>
          <w:rFonts w:ascii="Arial" w:hAnsi="Arial" w:cs="Arial"/>
          <w:b/>
          <w:spacing w:val="0"/>
          <w:sz w:val="20"/>
        </w:rPr>
        <w:t xml:space="preserve"> </w:t>
      </w:r>
      <w:r w:rsidR="007F0EE3" w:rsidRPr="0076002F">
        <w:rPr>
          <w:rFonts w:ascii="Arial" w:hAnsi="Arial" w:cs="Arial"/>
          <w:b/>
          <w:spacing w:val="0"/>
          <w:sz w:val="20"/>
        </w:rPr>
        <w:t>–</w:t>
      </w:r>
      <w:r w:rsidRPr="0076002F">
        <w:rPr>
          <w:rFonts w:ascii="Arial" w:hAnsi="Arial" w:cs="Arial"/>
          <w:b/>
          <w:spacing w:val="0"/>
          <w:sz w:val="20"/>
        </w:rPr>
        <w:t xml:space="preserve"> </w:t>
      </w:r>
      <w:r w:rsidR="008300DF" w:rsidRPr="0076002F">
        <w:rPr>
          <w:rFonts w:ascii="Arial" w:hAnsi="Arial" w:cs="Arial"/>
          <w:b/>
          <w:spacing w:val="0"/>
          <w:sz w:val="20"/>
        </w:rPr>
        <w:t>M</w:t>
      </w:r>
      <w:r w:rsidR="00D2617D" w:rsidRPr="0076002F">
        <w:rPr>
          <w:rFonts w:ascii="Arial" w:hAnsi="Arial" w:cs="Arial"/>
          <w:b/>
          <w:spacing w:val="0"/>
          <w:sz w:val="20"/>
        </w:rPr>
        <w:t>EDICION DE LOS ACTIVOS LÍQUIDOS</w:t>
      </w:r>
      <w:r w:rsidRPr="0076002F">
        <w:rPr>
          <w:rFonts w:ascii="Arial" w:hAnsi="Arial" w:cs="Arial"/>
          <w:b/>
          <w:spacing w:val="0"/>
          <w:sz w:val="20"/>
        </w:rPr>
        <w:t>:</w:t>
      </w:r>
    </w:p>
    <w:p w:rsidR="00847CF9" w:rsidRPr="0076002F" w:rsidRDefault="00847CF9" w:rsidP="0076002F">
      <w:pPr>
        <w:jc w:val="both"/>
        <w:rPr>
          <w:rFonts w:ascii="Arial" w:hAnsi="Arial" w:cs="Arial"/>
          <w:spacing w:val="0"/>
          <w:sz w:val="20"/>
        </w:rPr>
      </w:pPr>
    </w:p>
    <w:p w:rsidR="00847CF9" w:rsidRPr="0076002F" w:rsidRDefault="0058181F" w:rsidP="0076002F">
      <w:pPr>
        <w:jc w:val="both"/>
        <w:rPr>
          <w:rFonts w:ascii="Arial" w:hAnsi="Arial" w:cs="Arial"/>
          <w:sz w:val="20"/>
        </w:rPr>
      </w:pPr>
      <w:r w:rsidRPr="0076002F">
        <w:rPr>
          <w:rFonts w:ascii="Arial" w:hAnsi="Arial" w:cs="Arial"/>
          <w:spacing w:val="0"/>
          <w:sz w:val="20"/>
        </w:rPr>
        <w:t xml:space="preserve">Solo se debe diligenciar la columna 1, en las columnas </w:t>
      </w:r>
      <w:smartTag w:uri="urn:schemas-microsoft-com:office:smarttags" w:element="metricconverter">
        <w:smartTagPr>
          <w:attr w:name="ProductID" w:val="2 a"/>
        </w:smartTagPr>
        <w:r w:rsidRPr="0076002F">
          <w:rPr>
            <w:rFonts w:ascii="Arial" w:hAnsi="Arial" w:cs="Arial"/>
            <w:spacing w:val="0"/>
            <w:sz w:val="20"/>
          </w:rPr>
          <w:t>2 a</w:t>
        </w:r>
      </w:smartTag>
      <w:r w:rsidRPr="0076002F">
        <w:rPr>
          <w:rFonts w:ascii="Arial" w:hAnsi="Arial" w:cs="Arial"/>
          <w:spacing w:val="0"/>
          <w:sz w:val="20"/>
        </w:rPr>
        <w:t xml:space="preserve"> 4 no se debe reportar valor.</w:t>
      </w:r>
    </w:p>
    <w:p w:rsidR="0058181F" w:rsidRPr="0076002F" w:rsidRDefault="0058181F" w:rsidP="0076002F">
      <w:pPr>
        <w:jc w:val="both"/>
        <w:rPr>
          <w:rFonts w:ascii="Arial" w:hAnsi="Arial" w:cs="Arial"/>
          <w:spacing w:val="0"/>
          <w:sz w:val="20"/>
        </w:rPr>
      </w:pPr>
    </w:p>
    <w:p w:rsidR="00CD4466" w:rsidRPr="0076002F" w:rsidRDefault="00847CF9" w:rsidP="0076002F">
      <w:pPr>
        <w:jc w:val="both"/>
        <w:outlineLvl w:val="0"/>
        <w:rPr>
          <w:rFonts w:ascii="Arial" w:hAnsi="Arial" w:cs="Arial"/>
          <w:sz w:val="20"/>
        </w:rPr>
      </w:pPr>
      <w:r w:rsidRPr="0076002F">
        <w:rPr>
          <w:rFonts w:ascii="Arial" w:hAnsi="Arial" w:cs="Arial"/>
          <w:b/>
          <w:sz w:val="20"/>
        </w:rPr>
        <w:t xml:space="preserve">Subcuenta 005 – </w:t>
      </w:r>
      <w:r w:rsidR="00CD4466" w:rsidRPr="0076002F">
        <w:rPr>
          <w:rFonts w:ascii="Arial" w:hAnsi="Arial" w:cs="Arial"/>
          <w:b/>
          <w:sz w:val="20"/>
        </w:rPr>
        <w:t>Disponible</w:t>
      </w:r>
      <w:r w:rsidRPr="0076002F">
        <w:rPr>
          <w:rFonts w:ascii="Arial" w:hAnsi="Arial" w:cs="Arial"/>
          <w:b/>
          <w:sz w:val="20"/>
        </w:rPr>
        <w:t xml:space="preserve">: </w:t>
      </w:r>
      <w:r w:rsidR="00CD4466" w:rsidRPr="0076002F">
        <w:rPr>
          <w:rFonts w:ascii="Arial" w:hAnsi="Arial" w:cs="Arial"/>
          <w:sz w:val="20"/>
        </w:rPr>
        <w:t xml:space="preserve">Se debe reportar el </w:t>
      </w:r>
      <w:r w:rsidR="009F5A45">
        <w:rPr>
          <w:rFonts w:ascii="Arial" w:hAnsi="Arial" w:cs="Arial"/>
          <w:sz w:val="20"/>
        </w:rPr>
        <w:t xml:space="preserve">disponible, correspondiente a </w:t>
      </w:r>
      <w:r w:rsidR="00A50B81">
        <w:rPr>
          <w:rFonts w:ascii="Arial" w:hAnsi="Arial" w:cs="Arial"/>
          <w:sz w:val="20"/>
        </w:rPr>
        <w:t>los saldos en c</w:t>
      </w:r>
      <w:r w:rsidR="009F5A45">
        <w:rPr>
          <w:rFonts w:ascii="Arial" w:hAnsi="Arial" w:cs="Arial"/>
          <w:sz w:val="20"/>
        </w:rPr>
        <w:t xml:space="preserve">aja, </w:t>
      </w:r>
      <w:r w:rsidR="00A50B81">
        <w:rPr>
          <w:rFonts w:ascii="Arial" w:hAnsi="Arial" w:cs="Arial"/>
          <w:sz w:val="20"/>
        </w:rPr>
        <w:t>en cuentas corrientes</w:t>
      </w:r>
      <w:r w:rsidR="001C7B2C">
        <w:rPr>
          <w:rFonts w:ascii="Arial" w:hAnsi="Arial" w:cs="Arial"/>
          <w:sz w:val="20"/>
        </w:rPr>
        <w:t xml:space="preserve"> y </w:t>
      </w:r>
      <w:r w:rsidR="00A50B81">
        <w:rPr>
          <w:rFonts w:ascii="Arial" w:hAnsi="Arial" w:cs="Arial"/>
          <w:sz w:val="20"/>
        </w:rPr>
        <w:t>cuentas de a</w:t>
      </w:r>
      <w:r w:rsidR="009F5A45">
        <w:rPr>
          <w:rFonts w:ascii="Arial" w:hAnsi="Arial" w:cs="Arial"/>
          <w:sz w:val="20"/>
        </w:rPr>
        <w:t>horro</w:t>
      </w:r>
      <w:r w:rsidR="00CD4466" w:rsidRPr="0076002F">
        <w:rPr>
          <w:rFonts w:ascii="Arial" w:hAnsi="Arial" w:cs="Arial"/>
          <w:sz w:val="20"/>
        </w:rPr>
        <w:t>.</w:t>
      </w:r>
      <w:r w:rsidR="007C0870">
        <w:rPr>
          <w:rFonts w:ascii="Arial" w:hAnsi="Arial" w:cs="Arial"/>
          <w:sz w:val="20"/>
        </w:rPr>
        <w:t xml:space="preserve"> En el caso del Disponible en moneda extranjera el saldo debe multiplicarse </w:t>
      </w:r>
      <w:r w:rsidR="007C0870" w:rsidRPr="0076002F">
        <w:rPr>
          <w:rFonts w:ascii="Arial" w:hAnsi="Arial" w:cs="Arial"/>
          <w:sz w:val="20"/>
        </w:rPr>
        <w:t xml:space="preserve">por el siguiente factor: (1- </w:t>
      </w:r>
      <w:proofErr w:type="spellStart"/>
      <w:r w:rsidR="007C0870" w:rsidRPr="0076002F">
        <w:rPr>
          <w:rFonts w:ascii="Arial" w:hAnsi="Arial" w:cs="Arial"/>
          <w:sz w:val="20"/>
        </w:rPr>
        <w:t>Haircut</w:t>
      </w:r>
      <w:proofErr w:type="spellEnd"/>
      <w:r w:rsidR="007C0870" w:rsidRPr="0076002F">
        <w:rPr>
          <w:rFonts w:ascii="Arial" w:hAnsi="Arial" w:cs="Arial"/>
          <w:sz w:val="20"/>
        </w:rPr>
        <w:t xml:space="preserve"> correspondiente).</w:t>
      </w:r>
    </w:p>
    <w:p w:rsidR="00847CF9" w:rsidRPr="0076002F" w:rsidRDefault="00847CF9" w:rsidP="0076002F">
      <w:pPr>
        <w:jc w:val="both"/>
        <w:rPr>
          <w:rFonts w:ascii="Arial" w:hAnsi="Arial" w:cs="Arial"/>
          <w:b/>
          <w:sz w:val="20"/>
        </w:rPr>
      </w:pPr>
    </w:p>
    <w:p w:rsidR="007C0870" w:rsidRPr="00EC0274" w:rsidRDefault="0076002F" w:rsidP="007C0870">
      <w:pPr>
        <w:jc w:val="both"/>
        <w:rPr>
          <w:rFonts w:ascii="Arial" w:hAnsi="Arial" w:cs="Arial"/>
          <w:sz w:val="20"/>
        </w:rPr>
      </w:pPr>
      <w:r w:rsidRPr="0076002F">
        <w:rPr>
          <w:rFonts w:ascii="Arial" w:hAnsi="Arial" w:cs="Arial"/>
          <w:b/>
          <w:sz w:val="20"/>
        </w:rPr>
        <w:t>Subcuenta 01</w:t>
      </w:r>
      <w:r w:rsidR="00326DC5">
        <w:rPr>
          <w:rFonts w:ascii="Arial" w:hAnsi="Arial" w:cs="Arial"/>
          <w:b/>
          <w:sz w:val="20"/>
        </w:rPr>
        <w:t>0 – Inversiones negociables en Títulos P</w:t>
      </w:r>
      <w:r w:rsidRPr="0076002F">
        <w:rPr>
          <w:rFonts w:ascii="Arial" w:hAnsi="Arial" w:cs="Arial"/>
          <w:b/>
          <w:sz w:val="20"/>
        </w:rPr>
        <w:t>articipativos</w:t>
      </w:r>
      <w:r w:rsidR="007C0870">
        <w:rPr>
          <w:rFonts w:ascii="Arial" w:hAnsi="Arial" w:cs="Arial"/>
          <w:b/>
          <w:sz w:val="20"/>
        </w:rPr>
        <w:t xml:space="preserve">: </w:t>
      </w:r>
      <w:r w:rsidR="007C0870" w:rsidRPr="007C0870">
        <w:rPr>
          <w:rFonts w:ascii="Arial" w:hAnsi="Arial" w:cs="Arial"/>
          <w:sz w:val="20"/>
        </w:rPr>
        <w:t xml:space="preserve"> </w:t>
      </w:r>
      <w:r w:rsidR="007C0870" w:rsidRPr="0076002F">
        <w:rPr>
          <w:rFonts w:ascii="Arial" w:hAnsi="Arial" w:cs="Arial"/>
          <w:sz w:val="20"/>
        </w:rPr>
        <w:t xml:space="preserve">Se deben reportar </w:t>
      </w:r>
      <w:r w:rsidR="007C0870" w:rsidRPr="00216DF7">
        <w:rPr>
          <w:rFonts w:ascii="Arial" w:hAnsi="Arial" w:cs="Arial"/>
          <w:sz w:val="20"/>
        </w:rPr>
        <w:t>las acciones inscritas en una bolsa de valores en Colombia que sean elegibles para ser objeto de operaciones reporto o</w:t>
      </w:r>
      <w:r w:rsidR="007C0870">
        <w:rPr>
          <w:rFonts w:ascii="Arial" w:hAnsi="Arial" w:cs="Arial"/>
          <w:sz w:val="20"/>
        </w:rPr>
        <w:t xml:space="preserve"> repo</w:t>
      </w:r>
      <w:r w:rsidR="007C0870" w:rsidRPr="00EC0274">
        <w:rPr>
          <w:rFonts w:ascii="Arial" w:hAnsi="Arial" w:cs="Arial"/>
          <w:sz w:val="20"/>
        </w:rPr>
        <w:t xml:space="preserve">, multiplicadas por el  siguiente factor: (1- </w:t>
      </w:r>
      <w:proofErr w:type="spellStart"/>
      <w:r w:rsidR="007C0870" w:rsidRPr="00EC0274">
        <w:rPr>
          <w:rFonts w:ascii="Arial" w:hAnsi="Arial" w:cs="Arial"/>
          <w:sz w:val="20"/>
        </w:rPr>
        <w:t>Haircut</w:t>
      </w:r>
      <w:proofErr w:type="spellEnd"/>
      <w:r w:rsidR="007C0870" w:rsidRPr="00EC0274">
        <w:rPr>
          <w:rFonts w:ascii="Arial" w:hAnsi="Arial" w:cs="Arial"/>
          <w:sz w:val="20"/>
        </w:rPr>
        <w:t xml:space="preserve"> correspondiente). </w:t>
      </w:r>
    </w:p>
    <w:p w:rsidR="00397EDA" w:rsidRPr="00EC0274" w:rsidRDefault="00397EDA" w:rsidP="0076002F">
      <w:pPr>
        <w:jc w:val="both"/>
        <w:rPr>
          <w:rFonts w:ascii="Arial" w:hAnsi="Arial" w:cs="Arial"/>
          <w:sz w:val="20"/>
        </w:rPr>
      </w:pPr>
    </w:p>
    <w:p w:rsidR="0076002F" w:rsidRPr="00B24A91" w:rsidRDefault="0076002F" w:rsidP="0076002F">
      <w:pPr>
        <w:jc w:val="both"/>
        <w:rPr>
          <w:rFonts w:ascii="Arial" w:hAnsi="Arial" w:cs="Arial"/>
          <w:sz w:val="20"/>
        </w:rPr>
      </w:pPr>
      <w:r w:rsidRPr="0076002F">
        <w:rPr>
          <w:rFonts w:ascii="Arial" w:hAnsi="Arial" w:cs="Arial"/>
          <w:b/>
          <w:sz w:val="20"/>
        </w:rPr>
        <w:t>Subcuenta 015 – Inversiones negociables y disponibles para la venta en Títulos de Deuda Pública Interna recibidos por el BR</w:t>
      </w:r>
      <w:r w:rsidR="009B793F" w:rsidRPr="0076002F">
        <w:rPr>
          <w:rFonts w:ascii="Arial" w:hAnsi="Arial" w:cs="Arial"/>
          <w:b/>
          <w:sz w:val="20"/>
        </w:rPr>
        <w:t xml:space="preserve">: </w:t>
      </w:r>
      <w:r w:rsidR="009B793F" w:rsidRPr="009B793F">
        <w:rPr>
          <w:rFonts w:ascii="Arial" w:hAnsi="Arial" w:cs="Arial"/>
          <w:sz w:val="20"/>
        </w:rPr>
        <w:t>Si</w:t>
      </w:r>
      <w:r w:rsidR="00B24A91" w:rsidRPr="009B793F">
        <w:rPr>
          <w:rFonts w:ascii="Arial" w:hAnsi="Arial" w:cs="Arial"/>
          <w:sz w:val="20"/>
        </w:rPr>
        <w:t xml:space="preserve"> </w:t>
      </w:r>
      <w:r w:rsidR="00B24A91" w:rsidRPr="00B24A91">
        <w:rPr>
          <w:rFonts w:ascii="Arial" w:hAnsi="Arial" w:cs="Arial"/>
          <w:sz w:val="20"/>
        </w:rPr>
        <w:t>es ACO, s</w:t>
      </w:r>
      <w:r w:rsidRPr="00B24A91">
        <w:rPr>
          <w:rFonts w:ascii="Arial" w:hAnsi="Arial" w:cs="Arial"/>
          <w:sz w:val="20"/>
        </w:rPr>
        <w:t>e deben</w:t>
      </w:r>
      <w:r w:rsidRPr="0076002F">
        <w:rPr>
          <w:rFonts w:ascii="Arial" w:hAnsi="Arial" w:cs="Arial"/>
          <w:sz w:val="20"/>
        </w:rPr>
        <w:t xml:space="preserve"> reportar las inversiones negociables</w:t>
      </w:r>
      <w:r w:rsidR="009F5A45">
        <w:rPr>
          <w:rFonts w:ascii="Arial" w:hAnsi="Arial" w:cs="Arial"/>
          <w:sz w:val="20"/>
        </w:rPr>
        <w:t xml:space="preserve"> y disponibles para la venta en títulos de deuda pública interna</w:t>
      </w:r>
      <w:r w:rsidRPr="0076002F">
        <w:rPr>
          <w:rFonts w:ascii="Arial" w:hAnsi="Arial" w:cs="Arial"/>
          <w:sz w:val="20"/>
        </w:rPr>
        <w:t>, en aquellos activos que reciba el Banco de la República (BR) para sus operaciones de expansión y contracción monetaria, descritos en el numeral 3.1.1 de la Circular Reglamentaria Externa DODM-142 del Banco de la República.</w:t>
      </w:r>
      <w:r w:rsidR="009B793F">
        <w:rPr>
          <w:rFonts w:ascii="Arial" w:hAnsi="Arial" w:cs="Arial"/>
          <w:sz w:val="20"/>
        </w:rPr>
        <w:t xml:space="preserve"> </w:t>
      </w:r>
      <w:r w:rsidR="00B24A91" w:rsidRPr="00B24A91">
        <w:rPr>
          <w:rFonts w:ascii="Arial" w:hAnsi="Arial" w:cs="Arial"/>
          <w:sz w:val="20"/>
        </w:rPr>
        <w:t xml:space="preserve">Si no es ACO se deben reportar las inversiones negociables y disponibles para la venta en títulos de deuda </w:t>
      </w:r>
      <w:r w:rsidR="00397EDA">
        <w:rPr>
          <w:rFonts w:ascii="Arial" w:hAnsi="Arial" w:cs="Arial"/>
          <w:sz w:val="20"/>
        </w:rPr>
        <w:t xml:space="preserve">pública </w:t>
      </w:r>
      <w:r w:rsidR="00B24A91" w:rsidRPr="00B24A91">
        <w:rPr>
          <w:rFonts w:ascii="Arial" w:hAnsi="Arial" w:cs="Arial"/>
          <w:sz w:val="20"/>
        </w:rPr>
        <w:t>interna de cotización obligatoria</w:t>
      </w:r>
      <w:r w:rsidR="00B24A91">
        <w:rPr>
          <w:rFonts w:ascii="Arial" w:hAnsi="Arial" w:cs="Arial"/>
          <w:sz w:val="20"/>
        </w:rPr>
        <w:t xml:space="preserve"> en el </w:t>
      </w:r>
      <w:r w:rsidR="008857D4">
        <w:rPr>
          <w:rFonts w:ascii="Arial" w:hAnsi="Arial" w:cs="Arial"/>
          <w:sz w:val="20"/>
        </w:rPr>
        <w:t>Programa</w:t>
      </w:r>
      <w:r w:rsidR="00B24A91">
        <w:rPr>
          <w:rFonts w:ascii="Arial" w:hAnsi="Arial" w:cs="Arial"/>
          <w:sz w:val="20"/>
        </w:rPr>
        <w:t xml:space="preserve"> de Creadores de Mercado</w:t>
      </w:r>
      <w:r w:rsidR="00B24A91" w:rsidRPr="00B24A91">
        <w:rPr>
          <w:rFonts w:ascii="Arial" w:hAnsi="Arial" w:cs="Arial"/>
          <w:sz w:val="20"/>
        </w:rPr>
        <w:t>.</w:t>
      </w:r>
      <w:r w:rsidR="009B793F">
        <w:rPr>
          <w:rFonts w:ascii="Arial" w:hAnsi="Arial" w:cs="Arial"/>
          <w:sz w:val="20"/>
        </w:rPr>
        <w:t xml:space="preserve"> En todos los casos d</w:t>
      </w:r>
      <w:r w:rsidR="009B793F" w:rsidRPr="0076002F">
        <w:rPr>
          <w:rFonts w:ascii="Arial" w:hAnsi="Arial" w:cs="Arial"/>
          <w:sz w:val="20"/>
        </w:rPr>
        <w:t xml:space="preserve">ichos valores, deben multiplicarse por el siguiente factor: (1- </w:t>
      </w:r>
      <w:proofErr w:type="spellStart"/>
      <w:r w:rsidR="009B793F" w:rsidRPr="0076002F">
        <w:rPr>
          <w:rFonts w:ascii="Arial" w:hAnsi="Arial" w:cs="Arial"/>
          <w:sz w:val="20"/>
        </w:rPr>
        <w:t>Haircut</w:t>
      </w:r>
      <w:proofErr w:type="spellEnd"/>
      <w:r w:rsidR="009B793F" w:rsidRPr="0076002F">
        <w:rPr>
          <w:rFonts w:ascii="Arial" w:hAnsi="Arial" w:cs="Arial"/>
          <w:sz w:val="20"/>
        </w:rPr>
        <w:t xml:space="preserve"> correspondiente)</w:t>
      </w:r>
      <w:r w:rsidR="009B793F">
        <w:rPr>
          <w:rFonts w:ascii="Arial" w:hAnsi="Arial" w:cs="Arial"/>
          <w:sz w:val="20"/>
        </w:rPr>
        <w:t>.</w:t>
      </w:r>
    </w:p>
    <w:p w:rsidR="00F42A04" w:rsidRPr="00B24A91" w:rsidRDefault="00F42A04" w:rsidP="0076002F">
      <w:pPr>
        <w:pStyle w:val="Textoindependiente"/>
        <w:rPr>
          <w:rFonts w:cs="Arial"/>
          <w:b w:val="0"/>
          <w:sz w:val="20"/>
        </w:rPr>
      </w:pPr>
    </w:p>
    <w:p w:rsidR="0076002F" w:rsidRPr="0076002F" w:rsidRDefault="0076002F" w:rsidP="0076002F">
      <w:pPr>
        <w:jc w:val="both"/>
        <w:rPr>
          <w:rFonts w:ascii="Arial" w:hAnsi="Arial" w:cs="Arial"/>
          <w:sz w:val="20"/>
        </w:rPr>
      </w:pPr>
      <w:r w:rsidRPr="0076002F">
        <w:rPr>
          <w:rFonts w:ascii="Arial" w:hAnsi="Arial" w:cs="Arial"/>
          <w:b/>
          <w:sz w:val="20"/>
        </w:rPr>
        <w:t>Subcuenta 020 – Inversiones negociables y disponibles para la venta en Títulos de Deuda Pública Interna no recibidos por el BR:</w:t>
      </w:r>
      <w:r w:rsidRPr="0076002F">
        <w:rPr>
          <w:rFonts w:ascii="Arial" w:hAnsi="Arial" w:cs="Arial"/>
          <w:sz w:val="20"/>
        </w:rPr>
        <w:t xml:space="preserve"> Se deben reportar las inversiones negociables  y disponibles para la venta</w:t>
      </w:r>
      <w:r w:rsidR="009F5A45">
        <w:rPr>
          <w:rFonts w:ascii="Arial" w:hAnsi="Arial" w:cs="Arial"/>
          <w:sz w:val="20"/>
        </w:rPr>
        <w:t xml:space="preserve"> en títulos de deuda pública interna</w:t>
      </w:r>
      <w:r w:rsidRPr="0076002F">
        <w:rPr>
          <w:rFonts w:ascii="Arial" w:hAnsi="Arial" w:cs="Arial"/>
          <w:sz w:val="20"/>
        </w:rPr>
        <w:t xml:space="preserve">, en aquellos activos no contemplados en la subcuenta 015 de la presente Unidad de Captura, multiplicadas por el siguiente factor: (1- </w:t>
      </w:r>
      <w:proofErr w:type="spellStart"/>
      <w:r w:rsidRPr="0076002F">
        <w:rPr>
          <w:rFonts w:ascii="Arial" w:hAnsi="Arial" w:cs="Arial"/>
          <w:sz w:val="20"/>
        </w:rPr>
        <w:t>Haircut</w:t>
      </w:r>
      <w:proofErr w:type="spellEnd"/>
      <w:r w:rsidRPr="0076002F">
        <w:rPr>
          <w:rFonts w:ascii="Arial" w:hAnsi="Arial" w:cs="Arial"/>
          <w:sz w:val="20"/>
        </w:rPr>
        <w:t xml:space="preserve"> correspondiente).</w:t>
      </w:r>
    </w:p>
    <w:p w:rsidR="00CD4466" w:rsidRPr="0076002F" w:rsidRDefault="00CD4466" w:rsidP="0076002F">
      <w:pPr>
        <w:jc w:val="both"/>
        <w:rPr>
          <w:rFonts w:ascii="Arial" w:hAnsi="Arial" w:cs="Arial"/>
          <w:sz w:val="20"/>
        </w:rPr>
      </w:pPr>
      <w:r w:rsidRPr="0076002F">
        <w:rPr>
          <w:rFonts w:ascii="Arial" w:hAnsi="Arial" w:cs="Arial"/>
          <w:sz w:val="20"/>
        </w:rPr>
        <w:t xml:space="preserve">  </w:t>
      </w:r>
    </w:p>
    <w:p w:rsidR="00660E40" w:rsidRPr="0076002F" w:rsidRDefault="0076002F" w:rsidP="0076002F">
      <w:pPr>
        <w:pStyle w:val="Textoindependiente"/>
        <w:rPr>
          <w:rFonts w:cs="Arial"/>
          <w:b w:val="0"/>
          <w:sz w:val="20"/>
        </w:rPr>
      </w:pPr>
      <w:r w:rsidRPr="0076002F">
        <w:rPr>
          <w:rFonts w:cs="Arial"/>
          <w:sz w:val="20"/>
        </w:rPr>
        <w:t>Subcuenta 025 – Inversiones negociables y disponibles para la venta en Títulos de Deuda Pública Externa:</w:t>
      </w:r>
      <w:r w:rsidRPr="0076002F">
        <w:rPr>
          <w:rFonts w:cs="Arial"/>
          <w:b w:val="0"/>
          <w:sz w:val="20"/>
        </w:rPr>
        <w:t xml:space="preserve"> Se deben reportar las inversiones negociables </w:t>
      </w:r>
      <w:r w:rsidR="009F5A45">
        <w:rPr>
          <w:rFonts w:cs="Arial"/>
          <w:b w:val="0"/>
          <w:sz w:val="20"/>
        </w:rPr>
        <w:t xml:space="preserve">y </w:t>
      </w:r>
      <w:r w:rsidRPr="0076002F">
        <w:rPr>
          <w:rFonts w:cs="Arial"/>
          <w:b w:val="0"/>
          <w:sz w:val="20"/>
        </w:rPr>
        <w:t>disponibles para la venta en tí</w:t>
      </w:r>
      <w:r w:rsidR="00A60FDA">
        <w:rPr>
          <w:rFonts w:cs="Arial"/>
          <w:b w:val="0"/>
          <w:sz w:val="20"/>
        </w:rPr>
        <w:t>tulos de Deuda Pública Externa</w:t>
      </w:r>
      <w:r w:rsidRPr="0076002F">
        <w:rPr>
          <w:rFonts w:cs="Arial"/>
          <w:b w:val="0"/>
          <w:sz w:val="20"/>
        </w:rPr>
        <w:t xml:space="preserve">, multiplicadas por el siguiente factor: (1- </w:t>
      </w:r>
      <w:proofErr w:type="spellStart"/>
      <w:r w:rsidRPr="0076002F">
        <w:rPr>
          <w:rFonts w:cs="Arial"/>
          <w:b w:val="0"/>
          <w:sz w:val="20"/>
        </w:rPr>
        <w:t>Haircut</w:t>
      </w:r>
      <w:proofErr w:type="spellEnd"/>
      <w:r w:rsidRPr="0076002F">
        <w:rPr>
          <w:rFonts w:cs="Arial"/>
          <w:b w:val="0"/>
          <w:sz w:val="20"/>
        </w:rPr>
        <w:t xml:space="preserve"> correspondiente).</w:t>
      </w:r>
    </w:p>
    <w:p w:rsidR="0076002F" w:rsidRPr="0076002F" w:rsidRDefault="0076002F" w:rsidP="0076002F">
      <w:pPr>
        <w:pStyle w:val="Textoindependiente"/>
        <w:rPr>
          <w:rFonts w:cs="Arial"/>
          <w:b w:val="0"/>
          <w:sz w:val="20"/>
        </w:rPr>
      </w:pPr>
    </w:p>
    <w:p w:rsidR="0076002F" w:rsidRPr="0076002F" w:rsidRDefault="0076002F" w:rsidP="0076002F">
      <w:pPr>
        <w:pStyle w:val="Textoindependiente"/>
        <w:rPr>
          <w:rFonts w:cs="Arial"/>
          <w:b w:val="0"/>
          <w:sz w:val="20"/>
        </w:rPr>
      </w:pPr>
      <w:r w:rsidRPr="0076002F">
        <w:rPr>
          <w:rFonts w:cs="Arial"/>
          <w:sz w:val="20"/>
        </w:rPr>
        <w:t xml:space="preserve">Subcuenta 030 – Inversiones negociables y disponibles para la venta en Títulos emitidos por </w:t>
      </w:r>
      <w:proofErr w:type="spellStart"/>
      <w:r w:rsidRPr="0076002F">
        <w:rPr>
          <w:rFonts w:cs="Arial"/>
          <w:sz w:val="20"/>
        </w:rPr>
        <w:t>Fogafin</w:t>
      </w:r>
      <w:proofErr w:type="spellEnd"/>
      <w:r w:rsidRPr="0076002F">
        <w:rPr>
          <w:rFonts w:cs="Arial"/>
          <w:sz w:val="20"/>
        </w:rPr>
        <w:t xml:space="preserve">: </w:t>
      </w:r>
      <w:r w:rsidRPr="0076002F">
        <w:rPr>
          <w:rFonts w:cs="Arial"/>
          <w:b w:val="0"/>
          <w:sz w:val="20"/>
        </w:rPr>
        <w:t>Se deben reportar las inversiones negociables  y disponibles para la venta</w:t>
      </w:r>
      <w:r w:rsidR="009F5A45">
        <w:rPr>
          <w:rFonts w:cs="Arial"/>
          <w:b w:val="0"/>
          <w:sz w:val="20"/>
        </w:rPr>
        <w:t xml:space="preserve"> en títulos emitidos por </w:t>
      </w:r>
      <w:proofErr w:type="spellStart"/>
      <w:r w:rsidR="009F5A45">
        <w:rPr>
          <w:rFonts w:cs="Arial"/>
          <w:b w:val="0"/>
          <w:sz w:val="20"/>
        </w:rPr>
        <w:t>Fogafin</w:t>
      </w:r>
      <w:proofErr w:type="spellEnd"/>
      <w:r w:rsidRPr="0076002F">
        <w:rPr>
          <w:rFonts w:cs="Arial"/>
          <w:b w:val="0"/>
          <w:sz w:val="20"/>
        </w:rPr>
        <w:t xml:space="preserve">, multiplicadas por el siguiente factor: (1- </w:t>
      </w:r>
      <w:proofErr w:type="spellStart"/>
      <w:r w:rsidRPr="0076002F">
        <w:rPr>
          <w:rFonts w:cs="Arial"/>
          <w:b w:val="0"/>
          <w:sz w:val="20"/>
        </w:rPr>
        <w:t>Haircut</w:t>
      </w:r>
      <w:proofErr w:type="spellEnd"/>
      <w:r w:rsidRPr="0076002F">
        <w:rPr>
          <w:rFonts w:cs="Arial"/>
          <w:b w:val="0"/>
          <w:sz w:val="20"/>
        </w:rPr>
        <w:t xml:space="preserve"> correspondiente).</w:t>
      </w:r>
    </w:p>
    <w:p w:rsidR="0076002F" w:rsidRPr="0076002F" w:rsidRDefault="0076002F" w:rsidP="0076002F">
      <w:pPr>
        <w:pStyle w:val="Textoindependiente"/>
        <w:rPr>
          <w:rFonts w:cs="Arial"/>
          <w:b w:val="0"/>
          <w:sz w:val="20"/>
        </w:rPr>
      </w:pPr>
    </w:p>
    <w:p w:rsidR="0076002F" w:rsidRPr="0076002F" w:rsidRDefault="0076002F" w:rsidP="0076002F">
      <w:pPr>
        <w:pStyle w:val="Textoindependiente"/>
        <w:rPr>
          <w:rFonts w:cs="Arial"/>
          <w:sz w:val="20"/>
        </w:rPr>
      </w:pPr>
      <w:r w:rsidRPr="0076002F">
        <w:rPr>
          <w:rFonts w:cs="Arial"/>
          <w:sz w:val="20"/>
        </w:rPr>
        <w:t xml:space="preserve">Subcuenta 035 – Inversiones negociables y disponibles para la venta en Títulos de Deuda Privada: </w:t>
      </w:r>
      <w:r w:rsidRPr="0076002F">
        <w:rPr>
          <w:rFonts w:cs="Arial"/>
          <w:b w:val="0"/>
          <w:sz w:val="20"/>
        </w:rPr>
        <w:t>Se deben reportar las inversiones negociables y disponibles para la venta</w:t>
      </w:r>
      <w:r w:rsidR="009F5A45">
        <w:rPr>
          <w:rFonts w:cs="Arial"/>
          <w:b w:val="0"/>
          <w:sz w:val="20"/>
        </w:rPr>
        <w:t xml:space="preserve"> en títulos de deuda privada</w:t>
      </w:r>
      <w:r w:rsidRPr="0076002F">
        <w:rPr>
          <w:rFonts w:cs="Arial"/>
          <w:b w:val="0"/>
          <w:sz w:val="20"/>
        </w:rPr>
        <w:t xml:space="preserve">, exceptuando aquéllas reportadas en la subcuenta 030 de la presente Unidad de Captura, multiplicadas por el siguiente factor: (1- </w:t>
      </w:r>
      <w:proofErr w:type="spellStart"/>
      <w:r w:rsidRPr="0076002F">
        <w:rPr>
          <w:rFonts w:cs="Arial"/>
          <w:b w:val="0"/>
          <w:sz w:val="20"/>
        </w:rPr>
        <w:t>Haircut</w:t>
      </w:r>
      <w:proofErr w:type="spellEnd"/>
      <w:r w:rsidRPr="0076002F">
        <w:rPr>
          <w:rFonts w:cs="Arial"/>
          <w:b w:val="0"/>
          <w:sz w:val="20"/>
        </w:rPr>
        <w:t xml:space="preserve"> correspondiente).</w:t>
      </w:r>
    </w:p>
    <w:p w:rsidR="0076002F" w:rsidRPr="0076002F" w:rsidRDefault="0076002F" w:rsidP="0076002F">
      <w:pPr>
        <w:pStyle w:val="Textoindependiente"/>
        <w:rPr>
          <w:rFonts w:cs="Arial"/>
          <w:sz w:val="20"/>
        </w:rPr>
      </w:pPr>
    </w:p>
    <w:p w:rsidR="0076002F" w:rsidRPr="009B793F" w:rsidRDefault="0076002F" w:rsidP="0076002F">
      <w:pPr>
        <w:pStyle w:val="Textoindependiente"/>
        <w:rPr>
          <w:rFonts w:cs="Arial"/>
          <w:b w:val="0"/>
          <w:sz w:val="20"/>
        </w:rPr>
      </w:pPr>
      <w:r w:rsidRPr="0076002F">
        <w:rPr>
          <w:rFonts w:cs="Arial"/>
          <w:sz w:val="20"/>
        </w:rPr>
        <w:t xml:space="preserve">Subcuenta 040 – </w:t>
      </w:r>
      <w:r w:rsidR="00890A29">
        <w:rPr>
          <w:rFonts w:cs="Arial"/>
          <w:sz w:val="20"/>
        </w:rPr>
        <w:t xml:space="preserve">Activos Líquidos de Alta Calidad </w:t>
      </w:r>
      <w:r w:rsidRPr="0076002F">
        <w:rPr>
          <w:rFonts w:cs="Arial"/>
          <w:sz w:val="20"/>
        </w:rPr>
        <w:t>transferidos a la entidad en operaciones activas del mercado monetario</w:t>
      </w:r>
      <w:r w:rsidR="00850931">
        <w:rPr>
          <w:rFonts w:cs="Arial"/>
          <w:sz w:val="20"/>
        </w:rPr>
        <w:t>:</w:t>
      </w:r>
      <w:r w:rsidRPr="0076002F">
        <w:rPr>
          <w:rFonts w:cs="Arial"/>
          <w:sz w:val="20"/>
        </w:rPr>
        <w:t xml:space="preserve"> </w:t>
      </w:r>
      <w:r w:rsidR="009B793F" w:rsidRPr="009B793F">
        <w:rPr>
          <w:rFonts w:cs="Arial"/>
          <w:b w:val="0"/>
          <w:sz w:val="20"/>
        </w:rPr>
        <w:t>S</w:t>
      </w:r>
      <w:r w:rsidRPr="009B793F">
        <w:rPr>
          <w:rFonts w:cs="Arial"/>
          <w:b w:val="0"/>
          <w:sz w:val="20"/>
        </w:rPr>
        <w:t>e</w:t>
      </w:r>
      <w:r w:rsidRPr="0076002F">
        <w:rPr>
          <w:rFonts w:cs="Arial"/>
          <w:b w:val="0"/>
          <w:sz w:val="20"/>
        </w:rPr>
        <w:t xml:space="preserve"> deben reportar a precios de mercado</w:t>
      </w:r>
      <w:r w:rsidR="00890A29">
        <w:rPr>
          <w:rFonts w:cs="Arial"/>
          <w:b w:val="0"/>
          <w:sz w:val="20"/>
        </w:rPr>
        <w:t xml:space="preserve"> </w:t>
      </w:r>
      <w:r w:rsidR="00A10323">
        <w:rPr>
          <w:rFonts w:cs="Arial"/>
          <w:b w:val="0"/>
          <w:sz w:val="20"/>
        </w:rPr>
        <w:t>los activos líquidos de alta calidad (</w:t>
      </w:r>
      <w:r w:rsidRPr="0076002F">
        <w:rPr>
          <w:rFonts w:cs="Arial"/>
          <w:b w:val="0"/>
          <w:sz w:val="20"/>
        </w:rPr>
        <w:t>los títulos completos, principales y cupones</w:t>
      </w:r>
      <w:r w:rsidR="00A10323">
        <w:rPr>
          <w:rFonts w:cs="Arial"/>
          <w:b w:val="0"/>
          <w:sz w:val="20"/>
        </w:rPr>
        <w:t>)</w:t>
      </w:r>
      <w:r w:rsidRPr="0076002F">
        <w:rPr>
          <w:rFonts w:cs="Arial"/>
          <w:b w:val="0"/>
          <w:sz w:val="20"/>
        </w:rPr>
        <w:t>, transferidos a la entidad en desarrollo de operaciones activas de</w:t>
      </w:r>
      <w:r w:rsidR="002E6248">
        <w:rPr>
          <w:rFonts w:cs="Arial"/>
          <w:b w:val="0"/>
          <w:sz w:val="20"/>
        </w:rPr>
        <w:t>l</w:t>
      </w:r>
      <w:r w:rsidRPr="0076002F">
        <w:rPr>
          <w:rFonts w:cs="Arial"/>
          <w:b w:val="0"/>
          <w:sz w:val="20"/>
        </w:rPr>
        <w:t xml:space="preserve"> mercado monetario, que no hayan sido utilizados posteriormente en operaciones pasivas en el mercado monetario, que no tengan ni</w:t>
      </w:r>
      <w:r w:rsidR="009B793F">
        <w:rPr>
          <w:rFonts w:cs="Arial"/>
          <w:b w:val="0"/>
          <w:sz w:val="20"/>
        </w:rPr>
        <w:t>nguna restricción de movilidad</w:t>
      </w:r>
      <w:r w:rsidR="00397EDA">
        <w:rPr>
          <w:rFonts w:cs="Arial"/>
          <w:b w:val="0"/>
          <w:sz w:val="20"/>
        </w:rPr>
        <w:t>.</w:t>
      </w:r>
      <w:r w:rsidR="009B793F">
        <w:rPr>
          <w:rFonts w:cs="Arial"/>
          <w:b w:val="0"/>
          <w:sz w:val="20"/>
        </w:rPr>
        <w:t xml:space="preserve"> </w:t>
      </w:r>
      <w:r w:rsidR="00890A29">
        <w:rPr>
          <w:rFonts w:cs="Arial"/>
          <w:b w:val="0"/>
          <w:sz w:val="20"/>
        </w:rPr>
        <w:t>Para el caso de los</w:t>
      </w:r>
      <w:r w:rsidR="006A7F7A">
        <w:rPr>
          <w:rFonts w:cs="Arial"/>
          <w:b w:val="0"/>
          <w:sz w:val="20"/>
        </w:rPr>
        <w:t xml:space="preserve"> Títulos de Tesorería TES</w:t>
      </w:r>
      <w:r w:rsidR="00890A29">
        <w:rPr>
          <w:rFonts w:cs="Arial"/>
          <w:b w:val="0"/>
          <w:sz w:val="20"/>
        </w:rPr>
        <w:t>, s</w:t>
      </w:r>
      <w:r w:rsidR="009B793F">
        <w:rPr>
          <w:rFonts w:cs="Arial"/>
          <w:b w:val="0"/>
          <w:sz w:val="20"/>
        </w:rPr>
        <w:t xml:space="preserve">i es ACO reportará aquellas inversiones </w:t>
      </w:r>
      <w:r w:rsidRPr="0076002F">
        <w:rPr>
          <w:rFonts w:cs="Arial"/>
          <w:b w:val="0"/>
          <w:sz w:val="20"/>
        </w:rPr>
        <w:t xml:space="preserve">que reciba el Banco de la República (BR) para sus operaciones de expansión y contracción monetaria, según lo establecido en el numeral 3.1.1 de la Circular </w:t>
      </w:r>
      <w:r w:rsidRPr="009B793F">
        <w:rPr>
          <w:rFonts w:cs="Arial"/>
          <w:b w:val="0"/>
          <w:sz w:val="20"/>
        </w:rPr>
        <w:t>Reglamentaria Externa DODM-142 del</w:t>
      </w:r>
      <w:r w:rsidR="00397EDA">
        <w:rPr>
          <w:rFonts w:cs="Arial"/>
          <w:b w:val="0"/>
          <w:sz w:val="20"/>
        </w:rPr>
        <w:t xml:space="preserve"> BR</w:t>
      </w:r>
      <w:r w:rsidRPr="009B793F">
        <w:rPr>
          <w:rFonts w:cs="Arial"/>
          <w:b w:val="0"/>
          <w:sz w:val="20"/>
        </w:rPr>
        <w:t xml:space="preserve">, multiplicadas por el siguiente factor: (1- </w:t>
      </w:r>
      <w:proofErr w:type="spellStart"/>
      <w:r w:rsidRPr="009B793F">
        <w:rPr>
          <w:rFonts w:cs="Arial"/>
          <w:b w:val="0"/>
          <w:sz w:val="20"/>
        </w:rPr>
        <w:t>Haircut</w:t>
      </w:r>
      <w:proofErr w:type="spellEnd"/>
      <w:r w:rsidRPr="009B793F">
        <w:rPr>
          <w:rFonts w:cs="Arial"/>
          <w:b w:val="0"/>
          <w:sz w:val="20"/>
        </w:rPr>
        <w:t xml:space="preserve"> correspondiente).</w:t>
      </w:r>
      <w:r w:rsidR="009B793F" w:rsidRPr="009B793F">
        <w:rPr>
          <w:rFonts w:cs="Arial"/>
          <w:b w:val="0"/>
          <w:sz w:val="20"/>
        </w:rPr>
        <w:t xml:space="preserve"> </w:t>
      </w:r>
      <w:r w:rsidR="009B793F">
        <w:rPr>
          <w:rFonts w:cs="Arial"/>
          <w:b w:val="0"/>
          <w:sz w:val="20"/>
        </w:rPr>
        <w:t xml:space="preserve">En caso contrario </w:t>
      </w:r>
      <w:r w:rsidR="009B793F" w:rsidRPr="009B793F">
        <w:rPr>
          <w:rFonts w:cs="Arial"/>
          <w:b w:val="0"/>
          <w:sz w:val="20"/>
        </w:rPr>
        <w:t>reportará aquellos títulos de deuda interna de cotización obligatoria en el Programa de Creadores de Mercado</w:t>
      </w:r>
      <w:r w:rsidR="009B793F">
        <w:rPr>
          <w:rFonts w:cs="Arial"/>
          <w:b w:val="0"/>
          <w:sz w:val="20"/>
        </w:rPr>
        <w:t>.</w:t>
      </w:r>
    </w:p>
    <w:p w:rsidR="009B793F" w:rsidRPr="0076002F" w:rsidRDefault="009B793F" w:rsidP="0076002F">
      <w:pPr>
        <w:pStyle w:val="Textoindependiente"/>
        <w:rPr>
          <w:rFonts w:cs="Arial"/>
          <w:sz w:val="20"/>
        </w:rPr>
      </w:pPr>
    </w:p>
    <w:p w:rsidR="0076002F" w:rsidRDefault="0076002F" w:rsidP="0076002F">
      <w:pPr>
        <w:pStyle w:val="Textoindependiente"/>
        <w:rPr>
          <w:rFonts w:cs="Arial"/>
          <w:b w:val="0"/>
          <w:sz w:val="20"/>
        </w:rPr>
      </w:pPr>
      <w:r w:rsidRPr="0076002F">
        <w:rPr>
          <w:rFonts w:cs="Arial"/>
          <w:sz w:val="20"/>
        </w:rPr>
        <w:t>Subcuenta 045 –</w:t>
      </w:r>
      <w:r w:rsidR="00890A29">
        <w:rPr>
          <w:rFonts w:cs="Arial"/>
          <w:sz w:val="20"/>
        </w:rPr>
        <w:t xml:space="preserve">Otros Activos Líquidos </w:t>
      </w:r>
      <w:r w:rsidRPr="0076002F">
        <w:rPr>
          <w:rFonts w:cs="Arial"/>
          <w:sz w:val="20"/>
        </w:rPr>
        <w:t xml:space="preserve">transferidos a la entidad en operaciones activas del mercado monetario: </w:t>
      </w:r>
      <w:r w:rsidRPr="0076002F">
        <w:rPr>
          <w:rFonts w:cs="Arial"/>
          <w:b w:val="0"/>
          <w:sz w:val="20"/>
        </w:rPr>
        <w:t xml:space="preserve">Se deben reportar a precios de mercado, </w:t>
      </w:r>
      <w:r w:rsidR="00890A29">
        <w:rPr>
          <w:rFonts w:cs="Arial"/>
          <w:b w:val="0"/>
          <w:sz w:val="20"/>
        </w:rPr>
        <w:t xml:space="preserve">los </w:t>
      </w:r>
      <w:r w:rsidR="006A7F7A">
        <w:rPr>
          <w:rFonts w:cs="Arial"/>
          <w:b w:val="0"/>
          <w:sz w:val="20"/>
        </w:rPr>
        <w:t xml:space="preserve">otros activos </w:t>
      </w:r>
      <w:r w:rsidR="00850931">
        <w:rPr>
          <w:rFonts w:cs="Arial"/>
          <w:b w:val="0"/>
          <w:sz w:val="20"/>
        </w:rPr>
        <w:t>líquidos</w:t>
      </w:r>
      <w:r w:rsidR="00890A29">
        <w:rPr>
          <w:rFonts w:cs="Arial"/>
          <w:b w:val="0"/>
          <w:sz w:val="20"/>
        </w:rPr>
        <w:t xml:space="preserve"> </w:t>
      </w:r>
      <w:r w:rsidRPr="0076002F">
        <w:rPr>
          <w:rFonts w:cs="Arial"/>
          <w:b w:val="0"/>
          <w:sz w:val="20"/>
        </w:rPr>
        <w:t>transferidos a la entidad en desarrollo de operaciones activas de</w:t>
      </w:r>
      <w:r w:rsidR="002E6248">
        <w:rPr>
          <w:rFonts w:cs="Arial"/>
          <w:b w:val="0"/>
          <w:sz w:val="20"/>
        </w:rPr>
        <w:t>l</w:t>
      </w:r>
      <w:r w:rsidRPr="0076002F">
        <w:rPr>
          <w:rFonts w:cs="Arial"/>
          <w:b w:val="0"/>
          <w:sz w:val="20"/>
        </w:rPr>
        <w:t xml:space="preserve"> mercado monetario, que no hayan sido utilizados posteriormente en </w:t>
      </w:r>
      <w:r w:rsidRPr="0076002F">
        <w:rPr>
          <w:rFonts w:cs="Arial"/>
          <w:b w:val="0"/>
          <w:sz w:val="20"/>
        </w:rPr>
        <w:lastRenderedPageBreak/>
        <w:t>operaciones pasivas en el mercado monetario, que no tengan ninguna restricción de movilidad y que no hayan sido contemplados e</w:t>
      </w:r>
      <w:r w:rsidR="00397EDA">
        <w:rPr>
          <w:rFonts w:cs="Arial"/>
          <w:b w:val="0"/>
          <w:sz w:val="20"/>
        </w:rPr>
        <w:t>n la subcuenta 040, multiplicado</w:t>
      </w:r>
      <w:r w:rsidRPr="0076002F">
        <w:rPr>
          <w:rFonts w:cs="Arial"/>
          <w:b w:val="0"/>
          <w:sz w:val="20"/>
        </w:rPr>
        <w:t xml:space="preserve">s por el siguiente factor: (1- </w:t>
      </w:r>
      <w:proofErr w:type="spellStart"/>
      <w:r w:rsidRPr="0076002F">
        <w:rPr>
          <w:rFonts w:cs="Arial"/>
          <w:b w:val="0"/>
          <w:sz w:val="20"/>
        </w:rPr>
        <w:t>Haircut</w:t>
      </w:r>
      <w:proofErr w:type="spellEnd"/>
      <w:r w:rsidRPr="0076002F">
        <w:rPr>
          <w:rFonts w:cs="Arial"/>
          <w:b w:val="0"/>
          <w:sz w:val="20"/>
        </w:rPr>
        <w:t xml:space="preserve"> correspondiente).</w:t>
      </w:r>
    </w:p>
    <w:p w:rsidR="00326DC5" w:rsidRDefault="00326DC5" w:rsidP="0076002F">
      <w:pPr>
        <w:pStyle w:val="Textoindependiente"/>
        <w:rPr>
          <w:rFonts w:cs="Arial"/>
          <w:b w:val="0"/>
          <w:sz w:val="20"/>
        </w:rPr>
      </w:pPr>
    </w:p>
    <w:p w:rsidR="001C7B2C" w:rsidRDefault="001C7B2C" w:rsidP="001C7B2C">
      <w:pPr>
        <w:pStyle w:val="Textoindependiente"/>
        <w:rPr>
          <w:rFonts w:cs="Arial"/>
          <w:b w:val="0"/>
          <w:sz w:val="20"/>
        </w:rPr>
      </w:pPr>
      <w:r w:rsidRPr="001C7B2C">
        <w:rPr>
          <w:rFonts w:cs="Arial"/>
          <w:sz w:val="20"/>
        </w:rPr>
        <w:t>Subcuenta 050 – Participaciones en Fondos de Inversión Colectiva</w:t>
      </w:r>
      <w:r>
        <w:rPr>
          <w:rFonts w:cs="Arial"/>
          <w:b w:val="0"/>
          <w:sz w:val="20"/>
        </w:rPr>
        <w:t>: Se deben reportar a precios de mercado las participaciones en Fondos de Inversi</w:t>
      </w:r>
      <w:r w:rsidR="00AB0697">
        <w:rPr>
          <w:rFonts w:cs="Arial"/>
          <w:b w:val="0"/>
          <w:sz w:val="20"/>
        </w:rPr>
        <w:t>ón Colectiva abiertos sin pacto</w:t>
      </w:r>
      <w:r>
        <w:rPr>
          <w:rFonts w:cs="Arial"/>
          <w:b w:val="0"/>
          <w:sz w:val="20"/>
        </w:rPr>
        <w:t xml:space="preserve"> de permanencia</w:t>
      </w:r>
      <w:r w:rsidRPr="001C7B2C">
        <w:rPr>
          <w:rFonts w:cs="Arial"/>
          <w:b w:val="0"/>
          <w:sz w:val="20"/>
        </w:rPr>
        <w:t xml:space="preserve"> </w:t>
      </w:r>
      <w:r w:rsidRPr="0076002F">
        <w:rPr>
          <w:rFonts w:cs="Arial"/>
          <w:b w:val="0"/>
          <w:sz w:val="20"/>
        </w:rPr>
        <w:t xml:space="preserve">multiplicadas por el siguiente factor: (1- </w:t>
      </w:r>
      <w:proofErr w:type="spellStart"/>
      <w:r w:rsidRPr="0076002F">
        <w:rPr>
          <w:rFonts w:cs="Arial"/>
          <w:b w:val="0"/>
          <w:sz w:val="20"/>
        </w:rPr>
        <w:t>Haircut</w:t>
      </w:r>
      <w:proofErr w:type="spellEnd"/>
      <w:r w:rsidRPr="0076002F">
        <w:rPr>
          <w:rFonts w:cs="Arial"/>
          <w:b w:val="0"/>
          <w:sz w:val="20"/>
        </w:rPr>
        <w:t xml:space="preserve"> correspondiente).</w:t>
      </w:r>
    </w:p>
    <w:p w:rsidR="0076002F" w:rsidRPr="0076002F" w:rsidRDefault="0076002F" w:rsidP="0076002F">
      <w:pPr>
        <w:pStyle w:val="Textoindependiente"/>
        <w:rPr>
          <w:rFonts w:cs="Arial"/>
          <w:sz w:val="20"/>
        </w:rPr>
      </w:pPr>
    </w:p>
    <w:p w:rsidR="00E93B4F" w:rsidRDefault="0076002F" w:rsidP="009B793F">
      <w:pPr>
        <w:pStyle w:val="Textoindependiente"/>
        <w:rPr>
          <w:rFonts w:cs="Arial"/>
          <w:b w:val="0"/>
          <w:sz w:val="20"/>
        </w:rPr>
      </w:pPr>
      <w:r w:rsidRPr="0076002F">
        <w:rPr>
          <w:rFonts w:cs="Arial"/>
          <w:sz w:val="20"/>
        </w:rPr>
        <w:t xml:space="preserve">Subcuenta 997 – Activos Líquidos de Alta Calidad (ALAC): </w:t>
      </w:r>
      <w:r w:rsidRPr="0076002F">
        <w:rPr>
          <w:rFonts w:cs="Arial"/>
          <w:b w:val="0"/>
          <w:sz w:val="20"/>
        </w:rPr>
        <w:t>Se debe reportar el valor total de los Activos Líquidos de Alta Calidad, que corresponden a la sumatoria de las subcuentas 005 y 010; más los títulos reportados en las subcuentas 015, 025, 030 y 040 si la entidad es un Agente Colocador de OMA</w:t>
      </w:r>
      <w:r w:rsidR="00397EDA">
        <w:rPr>
          <w:rFonts w:cs="Arial"/>
          <w:b w:val="0"/>
          <w:sz w:val="20"/>
        </w:rPr>
        <w:t>,</w:t>
      </w:r>
      <w:r w:rsidRPr="0076002F">
        <w:rPr>
          <w:rFonts w:cs="Arial"/>
          <w:b w:val="0"/>
          <w:sz w:val="20"/>
        </w:rPr>
        <w:t xml:space="preserve"> en caso contrario,</w:t>
      </w:r>
      <w:r w:rsidR="00397EDA">
        <w:rPr>
          <w:rFonts w:cs="Arial"/>
          <w:b w:val="0"/>
          <w:sz w:val="20"/>
        </w:rPr>
        <w:t xml:space="preserve"> se debe reportar</w:t>
      </w:r>
      <w:r w:rsidRPr="0076002F">
        <w:rPr>
          <w:rFonts w:cs="Arial"/>
          <w:b w:val="0"/>
          <w:sz w:val="20"/>
        </w:rPr>
        <w:t xml:space="preserve"> </w:t>
      </w:r>
      <w:r w:rsidR="009B793F">
        <w:rPr>
          <w:rFonts w:cs="Arial"/>
          <w:b w:val="0"/>
          <w:sz w:val="20"/>
        </w:rPr>
        <w:t xml:space="preserve">la sumatoria </w:t>
      </w:r>
      <w:r w:rsidR="009B793F" w:rsidRPr="0076002F">
        <w:rPr>
          <w:rFonts w:cs="Arial"/>
          <w:b w:val="0"/>
          <w:sz w:val="20"/>
        </w:rPr>
        <w:t>de las subcuentas 005 y 010; más los títulos reportados en las subcuentas 015, 025, y 040</w:t>
      </w:r>
      <w:r w:rsidR="009B793F">
        <w:rPr>
          <w:rFonts w:cs="Arial"/>
          <w:b w:val="0"/>
          <w:sz w:val="20"/>
        </w:rPr>
        <w:t>.</w:t>
      </w:r>
    </w:p>
    <w:p w:rsidR="009B793F" w:rsidRPr="0076002F" w:rsidRDefault="009B793F" w:rsidP="009B793F">
      <w:pPr>
        <w:pStyle w:val="Textoindependiente"/>
        <w:rPr>
          <w:rFonts w:cs="Arial"/>
          <w:sz w:val="20"/>
        </w:rPr>
      </w:pPr>
    </w:p>
    <w:p w:rsidR="0076002F" w:rsidRPr="0076002F" w:rsidRDefault="0076002F" w:rsidP="0076002F">
      <w:pPr>
        <w:jc w:val="both"/>
        <w:rPr>
          <w:rFonts w:ascii="Arial" w:hAnsi="Arial" w:cs="Arial"/>
          <w:sz w:val="20"/>
        </w:rPr>
      </w:pPr>
      <w:r w:rsidRPr="0076002F">
        <w:rPr>
          <w:rFonts w:ascii="Arial" w:hAnsi="Arial" w:cs="Arial"/>
          <w:b/>
          <w:sz w:val="20"/>
        </w:rPr>
        <w:t>Subcuenta 998 – Activos Líquidos Ajustados (ALA):</w:t>
      </w:r>
      <w:r w:rsidRPr="0076002F">
        <w:rPr>
          <w:rFonts w:ascii="Arial" w:hAnsi="Arial" w:cs="Arial"/>
          <w:sz w:val="20"/>
        </w:rPr>
        <w:t xml:space="preserve"> Se debe reportar el valor total de los Activos Líquidos de Alta Calidad, que corresponde a la subcuenta 997 de la presente Unidad de Captura; más la sumatoria de</w:t>
      </w:r>
      <w:r w:rsidR="00397EDA">
        <w:rPr>
          <w:rFonts w:ascii="Arial" w:hAnsi="Arial" w:cs="Arial"/>
          <w:sz w:val="20"/>
        </w:rPr>
        <w:t xml:space="preserve"> los</w:t>
      </w:r>
      <w:r w:rsidRPr="0076002F">
        <w:rPr>
          <w:rFonts w:ascii="Arial" w:hAnsi="Arial" w:cs="Arial"/>
          <w:sz w:val="20"/>
        </w:rPr>
        <w:t xml:space="preserve"> Otros Activos Líquidos (OAL) </w:t>
      </w:r>
      <w:r w:rsidR="007C0870">
        <w:rPr>
          <w:rFonts w:ascii="Arial" w:hAnsi="Arial" w:cs="Arial"/>
          <w:sz w:val="20"/>
        </w:rPr>
        <w:t>(en todo caso no podrá ser mayor al 30% de ALA)</w:t>
      </w:r>
      <w:r w:rsidR="007C0870" w:rsidRPr="0076002F">
        <w:rPr>
          <w:rFonts w:ascii="Arial" w:hAnsi="Arial" w:cs="Arial"/>
          <w:sz w:val="20"/>
        </w:rPr>
        <w:t xml:space="preserve"> </w:t>
      </w:r>
      <w:r w:rsidRPr="0076002F">
        <w:rPr>
          <w:rFonts w:ascii="Arial" w:hAnsi="Arial" w:cs="Arial"/>
          <w:sz w:val="20"/>
        </w:rPr>
        <w:t>que comprende</w:t>
      </w:r>
      <w:r w:rsidR="001C7B2C">
        <w:rPr>
          <w:rFonts w:ascii="Arial" w:hAnsi="Arial" w:cs="Arial"/>
          <w:sz w:val="20"/>
        </w:rPr>
        <w:t xml:space="preserve"> las subcuentas 020, 035,</w:t>
      </w:r>
      <w:r w:rsidR="009B793F">
        <w:rPr>
          <w:rFonts w:ascii="Arial" w:hAnsi="Arial" w:cs="Arial"/>
          <w:sz w:val="20"/>
        </w:rPr>
        <w:t xml:space="preserve"> 045</w:t>
      </w:r>
      <w:r w:rsidR="001C7B2C">
        <w:rPr>
          <w:rFonts w:ascii="Arial" w:hAnsi="Arial" w:cs="Arial"/>
          <w:sz w:val="20"/>
        </w:rPr>
        <w:t xml:space="preserve"> y 050</w:t>
      </w:r>
      <w:r w:rsidR="00FE0A66">
        <w:rPr>
          <w:rFonts w:ascii="Arial" w:hAnsi="Arial" w:cs="Arial"/>
          <w:sz w:val="20"/>
        </w:rPr>
        <w:t xml:space="preserve"> si es ACO o en caso contrario </w:t>
      </w:r>
      <w:r w:rsidR="00FE0A66" w:rsidRPr="0076002F">
        <w:rPr>
          <w:rFonts w:ascii="Arial" w:hAnsi="Arial" w:cs="Arial"/>
          <w:sz w:val="20"/>
        </w:rPr>
        <w:t>comprende</w:t>
      </w:r>
      <w:r w:rsidR="00FE0A66">
        <w:rPr>
          <w:rFonts w:ascii="Arial" w:hAnsi="Arial" w:cs="Arial"/>
          <w:sz w:val="20"/>
        </w:rPr>
        <w:t xml:space="preserve"> las subcuentas 020,</w:t>
      </w:r>
      <w:r w:rsidR="00397EDA">
        <w:rPr>
          <w:rFonts w:ascii="Arial" w:hAnsi="Arial" w:cs="Arial"/>
          <w:sz w:val="20"/>
        </w:rPr>
        <w:t>0</w:t>
      </w:r>
      <w:r w:rsidR="00FE0A66">
        <w:rPr>
          <w:rFonts w:ascii="Arial" w:hAnsi="Arial" w:cs="Arial"/>
          <w:sz w:val="20"/>
        </w:rPr>
        <w:t>30,</w:t>
      </w:r>
      <w:r w:rsidR="001C7B2C">
        <w:rPr>
          <w:rFonts w:ascii="Arial" w:hAnsi="Arial" w:cs="Arial"/>
          <w:sz w:val="20"/>
        </w:rPr>
        <w:t xml:space="preserve"> 035,</w:t>
      </w:r>
      <w:r w:rsidR="00FE0A66">
        <w:rPr>
          <w:rFonts w:ascii="Arial" w:hAnsi="Arial" w:cs="Arial"/>
          <w:sz w:val="20"/>
        </w:rPr>
        <w:t xml:space="preserve"> 045</w:t>
      </w:r>
      <w:r w:rsidR="001C7B2C">
        <w:rPr>
          <w:rFonts w:ascii="Arial" w:hAnsi="Arial" w:cs="Arial"/>
          <w:sz w:val="20"/>
        </w:rPr>
        <w:t xml:space="preserve"> y 050</w:t>
      </w:r>
      <w:r w:rsidR="007C0870">
        <w:rPr>
          <w:rFonts w:ascii="Arial" w:hAnsi="Arial" w:cs="Arial"/>
          <w:sz w:val="20"/>
        </w:rPr>
        <w:t xml:space="preserve"> </w:t>
      </w:r>
      <w:r w:rsidR="004F0F88">
        <w:rPr>
          <w:rFonts w:ascii="Arial" w:hAnsi="Arial" w:cs="Arial"/>
          <w:sz w:val="20"/>
        </w:rPr>
        <w:t xml:space="preserve">hasta por un monto máximo </w:t>
      </w:r>
      <w:r w:rsidR="007C0870">
        <w:rPr>
          <w:rFonts w:ascii="Arial" w:hAnsi="Arial" w:cs="Arial"/>
          <w:sz w:val="20"/>
        </w:rPr>
        <w:t>de 3/7</w:t>
      </w:r>
      <w:r w:rsidRPr="009B793F">
        <w:rPr>
          <w:rFonts w:ascii="Arial" w:hAnsi="Arial" w:cs="Arial"/>
          <w:sz w:val="20"/>
        </w:rPr>
        <w:t xml:space="preserve"> del total</w:t>
      </w:r>
      <w:r w:rsidR="007C0870">
        <w:rPr>
          <w:rFonts w:ascii="Arial" w:hAnsi="Arial" w:cs="Arial"/>
          <w:sz w:val="20"/>
        </w:rPr>
        <w:t xml:space="preserve"> de ALAC </w:t>
      </w:r>
      <w:r w:rsidRPr="0076002F">
        <w:rPr>
          <w:rFonts w:ascii="Arial" w:hAnsi="Arial" w:cs="Arial"/>
          <w:sz w:val="20"/>
        </w:rPr>
        <w:t>:</w:t>
      </w:r>
    </w:p>
    <w:p w:rsidR="0076002F" w:rsidRPr="0076002F" w:rsidRDefault="0076002F" w:rsidP="0076002F">
      <w:pPr>
        <w:jc w:val="both"/>
        <w:rPr>
          <w:rFonts w:ascii="Arial" w:hAnsi="Arial" w:cs="Arial"/>
          <w:sz w:val="20"/>
        </w:rPr>
      </w:pPr>
    </w:p>
    <w:p w:rsidR="0076002F" w:rsidRPr="0076002F" w:rsidRDefault="004F0F88" w:rsidP="0076002F">
      <w:pPr>
        <w:jc w:val="center"/>
        <w:rPr>
          <w:rFonts w:ascii="Arial" w:hAnsi="Arial" w:cs="Arial"/>
          <w:sz w:val="20"/>
        </w:rPr>
      </w:pPr>
      <w:r w:rsidRPr="0076002F">
        <w:rPr>
          <w:rFonts w:ascii="Arial" w:hAnsi="Arial" w:cs="Arial"/>
          <w:position w:val="-10"/>
          <w:sz w:val="20"/>
        </w:rPr>
        <w:object w:dxaOrig="38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75pt;height:16.5pt" o:ole="">
            <v:imagedata r:id="rId9" o:title=""/>
          </v:shape>
          <o:OLEObject Type="Embed" ProgID="Equation.3" ShapeID="_x0000_i1025" DrawAspect="Content" ObjectID="_1459763475" r:id="rId10"/>
        </w:object>
      </w:r>
    </w:p>
    <w:p w:rsidR="0076002F" w:rsidRPr="0076002F" w:rsidRDefault="0076002F" w:rsidP="0076002F">
      <w:pPr>
        <w:jc w:val="both"/>
        <w:rPr>
          <w:rFonts w:ascii="Arial" w:hAnsi="Arial" w:cs="Arial"/>
          <w:b/>
          <w:sz w:val="20"/>
        </w:rPr>
      </w:pPr>
    </w:p>
    <w:p w:rsidR="00AB64FA" w:rsidRDefault="00AB64FA" w:rsidP="0076002F">
      <w:pPr>
        <w:jc w:val="both"/>
        <w:rPr>
          <w:rFonts w:ascii="Arial" w:hAnsi="Arial" w:cs="Arial"/>
          <w:b/>
          <w:sz w:val="20"/>
        </w:rPr>
      </w:pPr>
    </w:p>
    <w:p w:rsidR="0076002F" w:rsidRPr="0076002F" w:rsidRDefault="0076002F" w:rsidP="0076002F">
      <w:pPr>
        <w:jc w:val="both"/>
        <w:rPr>
          <w:rFonts w:ascii="Arial" w:hAnsi="Arial" w:cs="Arial"/>
          <w:b/>
          <w:sz w:val="20"/>
        </w:rPr>
      </w:pPr>
      <w:r w:rsidRPr="0076002F">
        <w:rPr>
          <w:rFonts w:ascii="Arial" w:hAnsi="Arial" w:cs="Arial"/>
          <w:b/>
          <w:sz w:val="20"/>
        </w:rPr>
        <w:t>UNIDAD DE CAPTURA  02 – MEDICIÓN DE FLUJOS POSITIVOS EN CUENTA PROPIA</w:t>
      </w:r>
      <w:r w:rsidR="00843788">
        <w:rPr>
          <w:rFonts w:ascii="Arial" w:hAnsi="Arial" w:cs="Arial"/>
          <w:b/>
          <w:sz w:val="20"/>
        </w:rPr>
        <w:t xml:space="preserve"> (FPCP)</w:t>
      </w:r>
      <w:r w:rsidRPr="0076002F">
        <w:rPr>
          <w:rFonts w:ascii="Arial" w:hAnsi="Arial" w:cs="Arial"/>
          <w:b/>
          <w:sz w:val="20"/>
        </w:rPr>
        <w:t xml:space="preserve">: </w:t>
      </w:r>
    </w:p>
    <w:p w:rsidR="0076002F" w:rsidRPr="0076002F" w:rsidRDefault="0076002F" w:rsidP="0076002F">
      <w:pPr>
        <w:jc w:val="both"/>
        <w:rPr>
          <w:rFonts w:ascii="Arial" w:hAnsi="Arial" w:cs="Arial"/>
          <w:sz w:val="20"/>
        </w:rPr>
      </w:pPr>
    </w:p>
    <w:p w:rsidR="0076002F" w:rsidRPr="0076002F" w:rsidRDefault="0076002F" w:rsidP="0076002F">
      <w:pPr>
        <w:jc w:val="both"/>
        <w:rPr>
          <w:rFonts w:ascii="Arial" w:hAnsi="Arial" w:cs="Arial"/>
          <w:sz w:val="20"/>
        </w:rPr>
      </w:pPr>
      <w:r w:rsidRPr="0076002F">
        <w:rPr>
          <w:rFonts w:ascii="Arial" w:hAnsi="Arial" w:cs="Arial"/>
          <w:sz w:val="20"/>
        </w:rPr>
        <w:t>En las subcuentas de la presente unidad de captura deben incorporarse los flujos de efectivo positivos (ingresos) y el valor presente de los títulos o valores que la entidad va a recibir en cumplimiento de las operaciones pactadas sobre títulos o valores en el desarrollo de operaciones por cuenta propia, así:</w:t>
      </w:r>
    </w:p>
    <w:p w:rsidR="0076002F" w:rsidRPr="0076002F" w:rsidRDefault="0076002F" w:rsidP="0076002F">
      <w:pPr>
        <w:jc w:val="both"/>
        <w:rPr>
          <w:rFonts w:ascii="Arial" w:hAnsi="Arial" w:cs="Arial"/>
          <w:sz w:val="20"/>
        </w:rPr>
      </w:pPr>
    </w:p>
    <w:p w:rsidR="0076002F" w:rsidRPr="0076002F" w:rsidRDefault="0076002F" w:rsidP="0076002F">
      <w:pPr>
        <w:numPr>
          <w:ilvl w:val="0"/>
          <w:numId w:val="19"/>
        </w:numPr>
        <w:ind w:left="705"/>
        <w:jc w:val="both"/>
        <w:rPr>
          <w:rFonts w:ascii="Arial" w:hAnsi="Arial" w:cs="Arial"/>
          <w:sz w:val="20"/>
        </w:rPr>
      </w:pPr>
      <w:r w:rsidRPr="0076002F">
        <w:rPr>
          <w:rFonts w:ascii="Arial" w:hAnsi="Arial" w:cs="Arial"/>
          <w:sz w:val="20"/>
        </w:rPr>
        <w:t xml:space="preserve">Los valores justos de intercambio, </w:t>
      </w:r>
      <w:r w:rsidR="009B793F" w:rsidRPr="0076002F">
        <w:rPr>
          <w:rFonts w:ascii="Arial" w:hAnsi="Arial" w:cs="Arial"/>
          <w:sz w:val="20"/>
        </w:rPr>
        <w:t>de los títulos o valores entregados como garantías en operaciones pasivas del mercado monetario</w:t>
      </w:r>
      <w:r w:rsidR="009B793F">
        <w:rPr>
          <w:rFonts w:ascii="Arial" w:hAnsi="Arial" w:cs="Arial"/>
          <w:sz w:val="20"/>
        </w:rPr>
        <w:t>,</w:t>
      </w:r>
      <w:r w:rsidR="009B793F" w:rsidRPr="0076002F">
        <w:rPr>
          <w:rFonts w:ascii="Arial" w:hAnsi="Arial" w:cs="Arial"/>
          <w:sz w:val="20"/>
        </w:rPr>
        <w:t xml:space="preserve"> </w:t>
      </w:r>
      <w:r w:rsidRPr="0076002F">
        <w:rPr>
          <w:rFonts w:ascii="Arial" w:hAnsi="Arial" w:cs="Arial"/>
          <w:sz w:val="20"/>
        </w:rPr>
        <w:t>multiplicados por el siguiente fac</w:t>
      </w:r>
      <w:r w:rsidR="009B793F">
        <w:rPr>
          <w:rFonts w:ascii="Arial" w:hAnsi="Arial" w:cs="Arial"/>
          <w:sz w:val="20"/>
        </w:rPr>
        <w:t xml:space="preserve">tor </w:t>
      </w:r>
      <w:r w:rsidRPr="0076002F">
        <w:rPr>
          <w:rFonts w:ascii="Arial" w:hAnsi="Arial" w:cs="Arial"/>
          <w:sz w:val="20"/>
        </w:rPr>
        <w:t>(1- haircut correspondiente). Estos valores deben registra</w:t>
      </w:r>
      <w:r w:rsidR="001C7B2C">
        <w:rPr>
          <w:rFonts w:ascii="Arial" w:hAnsi="Arial" w:cs="Arial"/>
          <w:sz w:val="20"/>
        </w:rPr>
        <w:t>r</w:t>
      </w:r>
      <w:r w:rsidRPr="0076002F">
        <w:rPr>
          <w:rFonts w:ascii="Arial" w:hAnsi="Arial" w:cs="Arial"/>
          <w:sz w:val="20"/>
        </w:rPr>
        <w:t>se en las bandas de tiempo en las cuales se cumplen las operaciones pasivas de regreso.</w:t>
      </w:r>
    </w:p>
    <w:p w:rsidR="0076002F" w:rsidRPr="0076002F" w:rsidRDefault="0076002F" w:rsidP="0076002F">
      <w:pPr>
        <w:jc w:val="both"/>
        <w:rPr>
          <w:rFonts w:ascii="Arial" w:hAnsi="Arial" w:cs="Arial"/>
          <w:sz w:val="20"/>
        </w:rPr>
      </w:pPr>
    </w:p>
    <w:p w:rsidR="0076002F" w:rsidRPr="0076002F" w:rsidRDefault="0076002F" w:rsidP="0076002F">
      <w:pPr>
        <w:numPr>
          <w:ilvl w:val="0"/>
          <w:numId w:val="19"/>
        </w:numPr>
        <w:ind w:left="705"/>
        <w:jc w:val="both"/>
        <w:rPr>
          <w:rFonts w:ascii="Arial" w:hAnsi="Arial" w:cs="Arial"/>
          <w:sz w:val="20"/>
        </w:rPr>
      </w:pPr>
      <w:r w:rsidRPr="0076002F">
        <w:rPr>
          <w:rFonts w:ascii="Arial" w:hAnsi="Arial" w:cs="Arial"/>
          <w:sz w:val="20"/>
        </w:rPr>
        <w:t>Los valores de cumplimiento de los compromisos de las operaciones activas del mercado monetario. Estos valores deben registra</w:t>
      </w:r>
      <w:r w:rsidR="001C7B2C">
        <w:rPr>
          <w:rFonts w:ascii="Arial" w:hAnsi="Arial" w:cs="Arial"/>
          <w:sz w:val="20"/>
        </w:rPr>
        <w:t>r</w:t>
      </w:r>
      <w:r w:rsidRPr="0076002F">
        <w:rPr>
          <w:rFonts w:ascii="Arial" w:hAnsi="Arial" w:cs="Arial"/>
          <w:sz w:val="20"/>
        </w:rPr>
        <w:t>se en las bandas de tiempo en las cuales se cumplen las operaciones activas de regreso.</w:t>
      </w:r>
    </w:p>
    <w:p w:rsidR="0076002F" w:rsidRPr="0076002F" w:rsidRDefault="0076002F" w:rsidP="0076002F">
      <w:pPr>
        <w:jc w:val="both"/>
        <w:rPr>
          <w:rFonts w:ascii="Arial" w:hAnsi="Arial" w:cs="Arial"/>
          <w:sz w:val="20"/>
        </w:rPr>
      </w:pPr>
    </w:p>
    <w:p w:rsidR="0076002F" w:rsidRPr="0076002F" w:rsidRDefault="0076002F" w:rsidP="0076002F">
      <w:pPr>
        <w:numPr>
          <w:ilvl w:val="0"/>
          <w:numId w:val="19"/>
        </w:numPr>
        <w:ind w:left="705"/>
        <w:jc w:val="both"/>
        <w:rPr>
          <w:rFonts w:ascii="Arial" w:hAnsi="Arial" w:cs="Arial"/>
          <w:sz w:val="20"/>
        </w:rPr>
      </w:pPr>
      <w:r w:rsidRPr="0076002F">
        <w:rPr>
          <w:rFonts w:ascii="Arial" w:hAnsi="Arial" w:cs="Arial"/>
          <w:sz w:val="20"/>
        </w:rPr>
        <w:t xml:space="preserve">Los valores justos de intercambio, </w:t>
      </w:r>
      <w:r w:rsidR="009B793F" w:rsidRPr="0076002F">
        <w:rPr>
          <w:rFonts w:ascii="Arial" w:hAnsi="Arial" w:cs="Arial"/>
          <w:sz w:val="20"/>
        </w:rPr>
        <w:t>de los títulos o valores que se esperan recibir en cumplimiento de compromisos de compra, en operaciones a plazo o de contado, que se encuentren vigentes a la fecha de corte del informe</w:t>
      </w:r>
      <w:r w:rsidR="009B793F">
        <w:rPr>
          <w:rFonts w:ascii="Arial" w:hAnsi="Arial" w:cs="Arial"/>
          <w:sz w:val="20"/>
        </w:rPr>
        <w:t>,</w:t>
      </w:r>
      <w:r w:rsidR="009B793F" w:rsidRPr="0076002F">
        <w:rPr>
          <w:rFonts w:ascii="Arial" w:hAnsi="Arial" w:cs="Arial"/>
          <w:sz w:val="20"/>
        </w:rPr>
        <w:t xml:space="preserve"> </w:t>
      </w:r>
      <w:r w:rsidRPr="0076002F">
        <w:rPr>
          <w:rFonts w:ascii="Arial" w:hAnsi="Arial" w:cs="Arial"/>
          <w:sz w:val="20"/>
        </w:rPr>
        <w:t>multiplicados</w:t>
      </w:r>
      <w:r w:rsidR="009B793F">
        <w:rPr>
          <w:rFonts w:ascii="Arial" w:hAnsi="Arial" w:cs="Arial"/>
          <w:sz w:val="20"/>
        </w:rPr>
        <w:t xml:space="preserve"> por el siguiente factor (1- haircut correspondiente)</w:t>
      </w:r>
      <w:r w:rsidRPr="0076002F">
        <w:rPr>
          <w:rFonts w:ascii="Arial" w:hAnsi="Arial" w:cs="Arial"/>
          <w:sz w:val="20"/>
        </w:rPr>
        <w:t>. Estos valores deben registrase en las bandas de tiempo en las cuales se cumplen los compromisos de compra.</w:t>
      </w:r>
    </w:p>
    <w:p w:rsidR="0076002F" w:rsidRPr="0076002F" w:rsidRDefault="0076002F" w:rsidP="0076002F">
      <w:pPr>
        <w:jc w:val="both"/>
        <w:rPr>
          <w:rFonts w:ascii="Arial" w:hAnsi="Arial" w:cs="Arial"/>
          <w:sz w:val="20"/>
        </w:rPr>
      </w:pPr>
    </w:p>
    <w:p w:rsidR="0076002F" w:rsidRPr="0076002F" w:rsidRDefault="0076002F" w:rsidP="0076002F">
      <w:pPr>
        <w:numPr>
          <w:ilvl w:val="0"/>
          <w:numId w:val="19"/>
        </w:numPr>
        <w:ind w:left="705"/>
        <w:jc w:val="both"/>
        <w:rPr>
          <w:rFonts w:ascii="Arial" w:hAnsi="Arial" w:cs="Arial"/>
          <w:sz w:val="20"/>
        </w:rPr>
      </w:pPr>
      <w:r w:rsidRPr="0076002F">
        <w:rPr>
          <w:rFonts w:ascii="Arial" w:hAnsi="Arial" w:cs="Arial"/>
          <w:sz w:val="20"/>
        </w:rPr>
        <w:t>Los ingresos de caja generados por el cumplimiento de compromisos de venta, en operaciones a plazo o de contado, que se encuentren vigentes a la fecha de corte del informe. Estos valores deben registrase en las bandas de tiempo en las cuales se cumplen los compromisos de venta.</w:t>
      </w:r>
    </w:p>
    <w:p w:rsidR="0076002F" w:rsidRPr="0076002F" w:rsidRDefault="0076002F" w:rsidP="0076002F">
      <w:pPr>
        <w:jc w:val="both"/>
        <w:rPr>
          <w:rFonts w:ascii="Arial" w:hAnsi="Arial" w:cs="Arial"/>
          <w:sz w:val="20"/>
        </w:rPr>
      </w:pPr>
    </w:p>
    <w:p w:rsidR="0076002F" w:rsidRPr="0076002F" w:rsidRDefault="0076002F" w:rsidP="0076002F">
      <w:pPr>
        <w:numPr>
          <w:ilvl w:val="0"/>
          <w:numId w:val="19"/>
        </w:numPr>
        <w:ind w:left="705"/>
        <w:jc w:val="both"/>
        <w:rPr>
          <w:rFonts w:ascii="Arial" w:hAnsi="Arial" w:cs="Arial"/>
          <w:sz w:val="20"/>
        </w:rPr>
      </w:pPr>
      <w:r w:rsidRPr="0076002F">
        <w:rPr>
          <w:rFonts w:ascii="Arial" w:hAnsi="Arial" w:cs="Arial"/>
          <w:sz w:val="20"/>
        </w:rPr>
        <w:t>El valor de las garantías adicionales requeridas en las operaciones del mercado monetario, registrados a valor justo de intercambio multiplicados por el siguiente factor: (1- haircut correspondiente), en el caso que dichas garantías sean en títulos valores. Estos valores deben registrase en las bandas de tiempo en las cuales se cumplen las operaciones y dentro de las subcuentas correspondientes a las operaciones que garantizan.</w:t>
      </w:r>
    </w:p>
    <w:p w:rsidR="0076002F" w:rsidRPr="0076002F" w:rsidRDefault="0076002F" w:rsidP="0076002F">
      <w:pPr>
        <w:jc w:val="both"/>
        <w:rPr>
          <w:rFonts w:ascii="Arial" w:hAnsi="Arial" w:cs="Arial"/>
          <w:sz w:val="20"/>
        </w:rPr>
      </w:pPr>
    </w:p>
    <w:p w:rsidR="0076002F" w:rsidRPr="0076002F" w:rsidRDefault="0076002F" w:rsidP="0076002F">
      <w:pPr>
        <w:jc w:val="both"/>
        <w:rPr>
          <w:rFonts w:ascii="Arial" w:hAnsi="Arial" w:cs="Arial"/>
          <w:sz w:val="20"/>
        </w:rPr>
      </w:pPr>
      <w:r w:rsidRPr="0076002F">
        <w:rPr>
          <w:rFonts w:ascii="Arial" w:hAnsi="Arial" w:cs="Arial"/>
          <w:b/>
          <w:sz w:val="20"/>
        </w:rPr>
        <w:t>Subcuenta 005 – Flujos positivos en operaciones repo pasivas:</w:t>
      </w:r>
      <w:r w:rsidRPr="0076002F">
        <w:rPr>
          <w:rFonts w:ascii="Arial" w:hAnsi="Arial" w:cs="Arial"/>
          <w:sz w:val="20"/>
        </w:rPr>
        <w:t xml:space="preserve"> Se debe reportar el valor justo de intercambio, ajustado por los haircuts correspondientes, de los títulos o valores transferidos como garantías en operaciones repo pasivas vigentes, incluyendo repos sobre repos, repos sobre simultáneas y repos sobre TTVs, para cada una de las bandas correspondientes. </w:t>
      </w:r>
    </w:p>
    <w:p w:rsidR="0076002F" w:rsidRPr="0076002F" w:rsidRDefault="0076002F" w:rsidP="0076002F">
      <w:pPr>
        <w:jc w:val="both"/>
        <w:rPr>
          <w:rFonts w:ascii="Arial" w:hAnsi="Arial" w:cs="Arial"/>
          <w:sz w:val="20"/>
        </w:rPr>
      </w:pPr>
    </w:p>
    <w:p w:rsidR="0076002F" w:rsidRPr="0076002F" w:rsidRDefault="0076002F" w:rsidP="0076002F">
      <w:pPr>
        <w:jc w:val="both"/>
        <w:rPr>
          <w:rFonts w:ascii="Arial" w:hAnsi="Arial" w:cs="Arial"/>
          <w:sz w:val="20"/>
        </w:rPr>
      </w:pPr>
      <w:r w:rsidRPr="0076002F">
        <w:rPr>
          <w:rFonts w:ascii="Arial" w:hAnsi="Arial" w:cs="Arial"/>
          <w:b/>
          <w:sz w:val="20"/>
        </w:rPr>
        <w:t>Subcuenta 010 – Flujos positivos en operaciones repo activas:</w:t>
      </w:r>
      <w:r w:rsidRPr="0076002F">
        <w:rPr>
          <w:rFonts w:ascii="Arial" w:hAnsi="Arial" w:cs="Arial"/>
          <w:sz w:val="20"/>
        </w:rPr>
        <w:t xml:space="preserve"> Se debe reportar el valor de cumplimiento de los compromisos de venta de las operaciones repo activas vigentes, para cada una de las bandas correspondientes.</w:t>
      </w:r>
    </w:p>
    <w:p w:rsidR="0076002F" w:rsidRPr="0076002F" w:rsidRDefault="0076002F" w:rsidP="0076002F">
      <w:pPr>
        <w:jc w:val="both"/>
        <w:rPr>
          <w:rFonts w:ascii="Arial" w:hAnsi="Arial" w:cs="Arial"/>
          <w:sz w:val="20"/>
        </w:rPr>
      </w:pPr>
    </w:p>
    <w:p w:rsidR="0076002F" w:rsidRPr="0076002F" w:rsidRDefault="0076002F" w:rsidP="0076002F">
      <w:pPr>
        <w:jc w:val="both"/>
        <w:rPr>
          <w:rFonts w:ascii="Arial" w:hAnsi="Arial" w:cs="Arial"/>
          <w:sz w:val="20"/>
        </w:rPr>
      </w:pPr>
      <w:r w:rsidRPr="0076002F">
        <w:rPr>
          <w:rFonts w:ascii="Arial" w:hAnsi="Arial" w:cs="Arial"/>
          <w:b/>
          <w:sz w:val="20"/>
        </w:rPr>
        <w:lastRenderedPageBreak/>
        <w:t>Subcuenta 015 – Flujos positivos en operaciones pasivas de simultáneas:</w:t>
      </w:r>
      <w:r w:rsidRPr="0076002F">
        <w:rPr>
          <w:rFonts w:ascii="Arial" w:hAnsi="Arial" w:cs="Arial"/>
          <w:sz w:val="20"/>
        </w:rPr>
        <w:t xml:space="preserve"> Se debe reportar el valor justo de intercambio, ajustado por los haircuts correspondientes,  de los títulos o valores transferidos como garantías en operaciones pasivas de simultáneas vigentes, incluyendo simultáneas sobre simultáneas, simultáneas sobre repos y simultáneas sobre TTVs, para cada una de las bandas correspondientes.</w:t>
      </w:r>
    </w:p>
    <w:p w:rsidR="0076002F" w:rsidRPr="0076002F" w:rsidRDefault="0076002F" w:rsidP="0076002F">
      <w:pPr>
        <w:jc w:val="both"/>
        <w:rPr>
          <w:rFonts w:ascii="Arial" w:hAnsi="Arial" w:cs="Arial"/>
          <w:sz w:val="20"/>
        </w:rPr>
      </w:pPr>
    </w:p>
    <w:p w:rsidR="0076002F" w:rsidRPr="0076002F" w:rsidRDefault="0076002F" w:rsidP="0076002F">
      <w:pPr>
        <w:jc w:val="both"/>
        <w:rPr>
          <w:rFonts w:ascii="Arial" w:hAnsi="Arial" w:cs="Arial"/>
          <w:sz w:val="20"/>
        </w:rPr>
      </w:pPr>
      <w:r w:rsidRPr="0076002F">
        <w:rPr>
          <w:rFonts w:ascii="Arial" w:hAnsi="Arial" w:cs="Arial"/>
          <w:b/>
          <w:sz w:val="20"/>
        </w:rPr>
        <w:t>Subcuenta 020 – Flujos positivos en operaciones activas de simultáneas:</w:t>
      </w:r>
      <w:r w:rsidRPr="0076002F">
        <w:rPr>
          <w:rFonts w:ascii="Arial" w:hAnsi="Arial" w:cs="Arial"/>
          <w:sz w:val="20"/>
        </w:rPr>
        <w:t xml:space="preserve"> Se debe reportar el valor de cumplimiento de los compromisos de venta de las operaciones activas de simultáneas, para cada una de las bandas correspondientes.</w:t>
      </w:r>
    </w:p>
    <w:p w:rsidR="0076002F" w:rsidRPr="0076002F" w:rsidRDefault="0076002F" w:rsidP="0076002F">
      <w:pPr>
        <w:jc w:val="both"/>
        <w:rPr>
          <w:rFonts w:ascii="Arial" w:hAnsi="Arial" w:cs="Arial"/>
          <w:sz w:val="20"/>
        </w:rPr>
      </w:pPr>
    </w:p>
    <w:p w:rsidR="0076002F" w:rsidRPr="0076002F" w:rsidRDefault="0076002F" w:rsidP="0076002F">
      <w:pPr>
        <w:jc w:val="both"/>
        <w:rPr>
          <w:rFonts w:ascii="Arial" w:hAnsi="Arial" w:cs="Arial"/>
          <w:sz w:val="20"/>
        </w:rPr>
      </w:pPr>
      <w:r w:rsidRPr="0076002F">
        <w:rPr>
          <w:rFonts w:ascii="Arial" w:hAnsi="Arial" w:cs="Arial"/>
          <w:b/>
          <w:sz w:val="20"/>
        </w:rPr>
        <w:t>Subcuenta 025 – Flujos positivos en operaciones de transferencia temporal de valores – TTV en las cuales la entidad actúa como receptora:</w:t>
      </w:r>
      <w:r w:rsidRPr="0076002F">
        <w:rPr>
          <w:rFonts w:ascii="Arial" w:hAnsi="Arial" w:cs="Arial"/>
          <w:sz w:val="20"/>
        </w:rPr>
        <w:t xml:space="preserve"> Se debe reportar el valor de cumplimiento del compromiso, para cada una de las bandas correspondientes. Tratándose de TTVs sobre acciones este valor corresponde al valor base de la operación.</w:t>
      </w:r>
    </w:p>
    <w:p w:rsidR="0076002F" w:rsidRPr="0076002F" w:rsidRDefault="0076002F" w:rsidP="0076002F">
      <w:pPr>
        <w:jc w:val="both"/>
        <w:rPr>
          <w:rFonts w:ascii="Arial" w:hAnsi="Arial" w:cs="Arial"/>
          <w:sz w:val="20"/>
        </w:rPr>
      </w:pPr>
    </w:p>
    <w:p w:rsidR="0076002F" w:rsidRPr="0076002F" w:rsidRDefault="0076002F" w:rsidP="0076002F">
      <w:pPr>
        <w:jc w:val="both"/>
        <w:rPr>
          <w:rFonts w:ascii="Arial" w:hAnsi="Arial" w:cs="Arial"/>
          <w:sz w:val="20"/>
        </w:rPr>
      </w:pPr>
      <w:r w:rsidRPr="0076002F">
        <w:rPr>
          <w:rFonts w:ascii="Arial" w:hAnsi="Arial" w:cs="Arial"/>
          <w:b/>
          <w:sz w:val="20"/>
        </w:rPr>
        <w:t>Subcuenta 030 – Flujos positivos en operaciones de transferencia temporal de valores – TTV en las cuales la entidad actúa como originadora:</w:t>
      </w:r>
      <w:r w:rsidRPr="0076002F">
        <w:rPr>
          <w:rFonts w:ascii="Arial" w:hAnsi="Arial" w:cs="Arial"/>
          <w:sz w:val="20"/>
        </w:rPr>
        <w:t xml:space="preserve"> Se debe reportar el valor justo de intercambio de los títulos o valores que fueron transferidos al receptor, ajustados por el haircut correspondiente, para cada una de las bandas correspondientes.</w:t>
      </w:r>
    </w:p>
    <w:p w:rsidR="0076002F" w:rsidRPr="0076002F" w:rsidRDefault="0076002F" w:rsidP="0076002F">
      <w:pPr>
        <w:jc w:val="both"/>
        <w:rPr>
          <w:rFonts w:ascii="Arial" w:hAnsi="Arial" w:cs="Arial"/>
          <w:sz w:val="20"/>
        </w:rPr>
      </w:pPr>
    </w:p>
    <w:p w:rsidR="0076002F" w:rsidRPr="0076002F" w:rsidRDefault="0076002F" w:rsidP="0076002F">
      <w:pPr>
        <w:jc w:val="both"/>
        <w:rPr>
          <w:rFonts w:ascii="Arial" w:hAnsi="Arial" w:cs="Arial"/>
          <w:sz w:val="20"/>
        </w:rPr>
      </w:pPr>
      <w:r w:rsidRPr="0076002F">
        <w:rPr>
          <w:rFonts w:ascii="Arial" w:hAnsi="Arial" w:cs="Arial"/>
          <w:b/>
          <w:sz w:val="20"/>
        </w:rPr>
        <w:t xml:space="preserve">Subcuenta 035 – Flujos positivos en operaciones de contado </w:t>
      </w:r>
      <w:r w:rsidR="003649CC">
        <w:rPr>
          <w:rFonts w:ascii="Arial" w:hAnsi="Arial" w:cs="Arial"/>
          <w:b/>
          <w:sz w:val="20"/>
        </w:rPr>
        <w:t>y</w:t>
      </w:r>
      <w:r w:rsidRPr="0076002F">
        <w:rPr>
          <w:rFonts w:ascii="Arial" w:hAnsi="Arial" w:cs="Arial"/>
          <w:b/>
          <w:sz w:val="20"/>
        </w:rPr>
        <w:t xml:space="preserve"> a plazo de venta en pesos:</w:t>
      </w:r>
      <w:r w:rsidRPr="0076002F">
        <w:rPr>
          <w:rFonts w:ascii="Arial" w:hAnsi="Arial" w:cs="Arial"/>
          <w:sz w:val="20"/>
        </w:rPr>
        <w:t xml:space="preserve"> Se debe reportar el valor de cumplimiento de las operaciones de venta de contado o a plazo vigentes, incluyendo las ventas en corto sobre repos, simultáneas y TTVs, para cada una de las bandas correspondientes. </w:t>
      </w:r>
    </w:p>
    <w:p w:rsidR="0076002F" w:rsidRPr="0076002F" w:rsidRDefault="0076002F" w:rsidP="0076002F">
      <w:pPr>
        <w:jc w:val="both"/>
        <w:rPr>
          <w:rFonts w:ascii="Arial" w:hAnsi="Arial" w:cs="Arial"/>
          <w:sz w:val="20"/>
        </w:rPr>
      </w:pPr>
    </w:p>
    <w:p w:rsidR="0076002F" w:rsidRPr="0076002F" w:rsidRDefault="0076002F" w:rsidP="0076002F">
      <w:pPr>
        <w:jc w:val="both"/>
        <w:rPr>
          <w:rFonts w:ascii="Arial" w:hAnsi="Arial" w:cs="Arial"/>
          <w:sz w:val="20"/>
        </w:rPr>
      </w:pPr>
      <w:r w:rsidRPr="0076002F">
        <w:rPr>
          <w:rFonts w:ascii="Arial" w:hAnsi="Arial" w:cs="Arial"/>
          <w:b/>
          <w:sz w:val="20"/>
        </w:rPr>
        <w:t xml:space="preserve">Subcuenta 040 – Flujos positivos en operaciones de contado </w:t>
      </w:r>
      <w:r w:rsidR="003649CC">
        <w:rPr>
          <w:rFonts w:ascii="Arial" w:hAnsi="Arial" w:cs="Arial"/>
          <w:b/>
          <w:sz w:val="20"/>
        </w:rPr>
        <w:t>y</w:t>
      </w:r>
      <w:r w:rsidRPr="0076002F">
        <w:rPr>
          <w:rFonts w:ascii="Arial" w:hAnsi="Arial" w:cs="Arial"/>
          <w:b/>
          <w:sz w:val="20"/>
        </w:rPr>
        <w:t xml:space="preserve"> a plazo de compra en pesos:</w:t>
      </w:r>
      <w:r w:rsidRPr="0076002F">
        <w:rPr>
          <w:rFonts w:ascii="Arial" w:hAnsi="Arial" w:cs="Arial"/>
          <w:sz w:val="20"/>
        </w:rPr>
        <w:t xml:space="preserve"> Se debe reportar el valor justo de intercambio, ajustado por los haircuts correspondientes, de los títulos o valores a recibir por los compromisos de compra de contado o a plazo vigentes, para cada una de las bandas correspondientes.</w:t>
      </w:r>
    </w:p>
    <w:p w:rsidR="0076002F" w:rsidRPr="0076002F" w:rsidRDefault="0076002F" w:rsidP="0076002F">
      <w:pPr>
        <w:jc w:val="both"/>
        <w:rPr>
          <w:rFonts w:ascii="Arial" w:hAnsi="Arial" w:cs="Arial"/>
          <w:sz w:val="20"/>
        </w:rPr>
      </w:pPr>
    </w:p>
    <w:p w:rsidR="0076002F" w:rsidRPr="0076002F" w:rsidRDefault="0076002F" w:rsidP="0076002F">
      <w:pPr>
        <w:jc w:val="both"/>
        <w:rPr>
          <w:rFonts w:ascii="Arial" w:hAnsi="Arial" w:cs="Arial"/>
          <w:sz w:val="20"/>
        </w:rPr>
      </w:pPr>
      <w:r w:rsidRPr="0076002F">
        <w:rPr>
          <w:rFonts w:ascii="Arial" w:hAnsi="Arial" w:cs="Arial"/>
          <w:b/>
          <w:sz w:val="20"/>
        </w:rPr>
        <w:t xml:space="preserve">Subcuenta 045 – Flujos positivos en operaciones de contado </w:t>
      </w:r>
      <w:r w:rsidR="003649CC">
        <w:rPr>
          <w:rFonts w:ascii="Arial" w:hAnsi="Arial" w:cs="Arial"/>
          <w:b/>
          <w:sz w:val="20"/>
        </w:rPr>
        <w:t>y</w:t>
      </w:r>
      <w:r w:rsidRPr="0076002F">
        <w:rPr>
          <w:rFonts w:ascii="Arial" w:hAnsi="Arial" w:cs="Arial"/>
          <w:b/>
          <w:sz w:val="20"/>
        </w:rPr>
        <w:t xml:space="preserve"> a plazo de venta en divisas:</w:t>
      </w:r>
      <w:r w:rsidRPr="0076002F">
        <w:rPr>
          <w:rFonts w:ascii="Arial" w:hAnsi="Arial" w:cs="Arial"/>
          <w:sz w:val="20"/>
        </w:rPr>
        <w:t xml:space="preserve"> Se debe reportar el valor de cumplimiento de las operaciones de venta de contado o a plazo en divisas vigentes, para cada una de las bandas correspondientes. </w:t>
      </w:r>
    </w:p>
    <w:p w:rsidR="0076002F" w:rsidRPr="0076002F" w:rsidRDefault="0076002F" w:rsidP="0076002F">
      <w:pPr>
        <w:jc w:val="both"/>
        <w:rPr>
          <w:rFonts w:ascii="Arial" w:hAnsi="Arial" w:cs="Arial"/>
          <w:sz w:val="20"/>
        </w:rPr>
      </w:pPr>
    </w:p>
    <w:p w:rsidR="0076002F" w:rsidRPr="0076002F" w:rsidRDefault="0076002F" w:rsidP="0076002F">
      <w:pPr>
        <w:jc w:val="both"/>
        <w:rPr>
          <w:rFonts w:ascii="Arial" w:hAnsi="Arial" w:cs="Arial"/>
          <w:sz w:val="20"/>
        </w:rPr>
      </w:pPr>
      <w:r w:rsidRPr="0076002F">
        <w:rPr>
          <w:rFonts w:ascii="Arial" w:hAnsi="Arial" w:cs="Arial"/>
          <w:b/>
          <w:sz w:val="20"/>
        </w:rPr>
        <w:t xml:space="preserve">Subcuenta 050 – Flujos positivos en operaciones de contado </w:t>
      </w:r>
      <w:r w:rsidR="003649CC">
        <w:rPr>
          <w:rFonts w:ascii="Arial" w:hAnsi="Arial" w:cs="Arial"/>
          <w:b/>
          <w:sz w:val="20"/>
        </w:rPr>
        <w:t>y</w:t>
      </w:r>
      <w:r w:rsidRPr="0076002F">
        <w:rPr>
          <w:rFonts w:ascii="Arial" w:hAnsi="Arial" w:cs="Arial"/>
          <w:b/>
          <w:sz w:val="20"/>
        </w:rPr>
        <w:t xml:space="preserve"> a plazo de compra en divisas:</w:t>
      </w:r>
      <w:r w:rsidRPr="0076002F">
        <w:rPr>
          <w:rFonts w:ascii="Arial" w:hAnsi="Arial" w:cs="Arial"/>
          <w:sz w:val="20"/>
        </w:rPr>
        <w:t xml:space="preserve"> Se debe reportar el equivalente en pesos de las divisas a recibir por los compromisos de compra de contado o a plazo en divisas vigentes, </w:t>
      </w:r>
      <w:r w:rsidR="00D1540A" w:rsidRPr="0076002F">
        <w:rPr>
          <w:rFonts w:ascii="Arial" w:hAnsi="Arial" w:cs="Arial"/>
          <w:sz w:val="20"/>
        </w:rPr>
        <w:t xml:space="preserve">ajustado por </w:t>
      </w:r>
      <w:r w:rsidR="00D1540A">
        <w:rPr>
          <w:rFonts w:ascii="Arial" w:hAnsi="Arial" w:cs="Arial"/>
          <w:sz w:val="20"/>
        </w:rPr>
        <w:t xml:space="preserve">el </w:t>
      </w:r>
      <w:proofErr w:type="spellStart"/>
      <w:r w:rsidR="00D1540A" w:rsidRPr="0076002F">
        <w:rPr>
          <w:rFonts w:ascii="Arial" w:hAnsi="Arial" w:cs="Arial"/>
          <w:sz w:val="20"/>
        </w:rPr>
        <w:t>haircut</w:t>
      </w:r>
      <w:proofErr w:type="spellEnd"/>
      <w:r w:rsidR="00D1540A" w:rsidRPr="0076002F">
        <w:rPr>
          <w:rFonts w:ascii="Arial" w:hAnsi="Arial" w:cs="Arial"/>
          <w:sz w:val="20"/>
        </w:rPr>
        <w:t xml:space="preserve"> correspondiente</w:t>
      </w:r>
      <w:r w:rsidR="00D1540A">
        <w:rPr>
          <w:rFonts w:ascii="Arial" w:hAnsi="Arial" w:cs="Arial"/>
          <w:sz w:val="20"/>
        </w:rPr>
        <w:t xml:space="preserve"> para las posiciones en moneda extranjera,</w:t>
      </w:r>
      <w:r w:rsidR="00D1540A" w:rsidRPr="0076002F">
        <w:rPr>
          <w:rFonts w:ascii="Arial" w:hAnsi="Arial" w:cs="Arial"/>
          <w:sz w:val="20"/>
        </w:rPr>
        <w:t xml:space="preserve"> </w:t>
      </w:r>
      <w:r w:rsidRPr="0076002F">
        <w:rPr>
          <w:rFonts w:ascii="Arial" w:hAnsi="Arial" w:cs="Arial"/>
          <w:sz w:val="20"/>
        </w:rPr>
        <w:t>para cada una de las bandas correspondientes.</w:t>
      </w:r>
    </w:p>
    <w:p w:rsidR="0076002F" w:rsidRPr="0076002F" w:rsidRDefault="0076002F" w:rsidP="0076002F">
      <w:pPr>
        <w:jc w:val="both"/>
        <w:rPr>
          <w:rFonts w:ascii="Arial" w:hAnsi="Arial" w:cs="Arial"/>
          <w:sz w:val="20"/>
        </w:rPr>
      </w:pPr>
    </w:p>
    <w:p w:rsidR="00CF0CF9" w:rsidRPr="00AB64FA" w:rsidRDefault="0076002F" w:rsidP="00CF0CF9">
      <w:pPr>
        <w:jc w:val="both"/>
        <w:rPr>
          <w:rFonts w:ascii="Arial" w:hAnsi="Arial" w:cs="Arial"/>
          <w:sz w:val="20"/>
        </w:rPr>
      </w:pPr>
      <w:r w:rsidRPr="0076002F">
        <w:rPr>
          <w:rFonts w:ascii="Arial" w:hAnsi="Arial" w:cs="Arial"/>
          <w:b/>
          <w:sz w:val="20"/>
        </w:rPr>
        <w:t>Subcuenta 055 – Flujos positivos por instrumentos financieros derivados:</w:t>
      </w:r>
      <w:r w:rsidRPr="0076002F">
        <w:rPr>
          <w:rFonts w:ascii="Arial" w:hAnsi="Arial" w:cs="Arial"/>
          <w:sz w:val="20"/>
        </w:rPr>
        <w:t xml:space="preserve"> Se debe reportar el valor de cumplimiento de los compromisos de venta efectuados a través de instrumentos financieros derivados vigentes, para cada una de las bandas correspondientes. Del mismo modo, se debe reportar el valor justo de intercambio, ajustado por los haircuts correspondientes, de los títulos o valores a recibir por los compromisos de compra efectuados a través de instrumentos financieros derivados vigentes, para cada una de las bandas correspondientes. En esta subcuenta sólo se registran instrumentos financieros derivados que no se encuentren compensados y liquidados a través de cámaras de riesgo central de contraparte. </w:t>
      </w:r>
      <w:r w:rsidR="00CF0CF9" w:rsidRPr="00AB64FA">
        <w:rPr>
          <w:rFonts w:ascii="Arial" w:hAnsi="Arial" w:cs="Arial"/>
          <w:sz w:val="20"/>
        </w:rPr>
        <w:t>Para los instrumentos financieros derivados sin entrega se debe registrar el valor neto resultante del derecho y la obligación si este resultado es positivo.</w:t>
      </w:r>
    </w:p>
    <w:p w:rsidR="0076002F" w:rsidRDefault="0076002F" w:rsidP="0076002F">
      <w:pPr>
        <w:jc w:val="both"/>
        <w:rPr>
          <w:rFonts w:ascii="Arial" w:hAnsi="Arial" w:cs="Arial"/>
          <w:sz w:val="20"/>
        </w:rPr>
      </w:pPr>
    </w:p>
    <w:p w:rsidR="00A60FDA" w:rsidRPr="0076002F" w:rsidRDefault="00A60FDA" w:rsidP="00A60FDA">
      <w:pPr>
        <w:jc w:val="both"/>
        <w:rPr>
          <w:rFonts w:ascii="Arial" w:hAnsi="Arial" w:cs="Arial"/>
          <w:sz w:val="20"/>
        </w:rPr>
      </w:pPr>
      <w:r w:rsidRPr="0076002F">
        <w:rPr>
          <w:rFonts w:ascii="Arial" w:hAnsi="Arial" w:cs="Arial"/>
          <w:b/>
          <w:sz w:val="20"/>
        </w:rPr>
        <w:t xml:space="preserve">Subcuenta 060 – Flujos </w:t>
      </w:r>
      <w:r>
        <w:rPr>
          <w:rFonts w:ascii="Arial" w:hAnsi="Arial" w:cs="Arial"/>
          <w:b/>
          <w:sz w:val="20"/>
        </w:rPr>
        <w:t>Positivos de Inversion</w:t>
      </w:r>
      <w:r w:rsidR="00326DC5">
        <w:rPr>
          <w:rFonts w:ascii="Arial" w:hAnsi="Arial" w:cs="Arial"/>
          <w:b/>
          <w:sz w:val="20"/>
        </w:rPr>
        <w:t>es Clasificadas al v</w:t>
      </w:r>
      <w:r>
        <w:rPr>
          <w:rFonts w:ascii="Arial" w:hAnsi="Arial" w:cs="Arial"/>
          <w:b/>
          <w:sz w:val="20"/>
        </w:rPr>
        <w:t>encimiento</w:t>
      </w:r>
      <w:r w:rsidRPr="0076002F">
        <w:rPr>
          <w:rFonts w:ascii="Arial" w:hAnsi="Arial" w:cs="Arial"/>
          <w:b/>
          <w:sz w:val="20"/>
        </w:rPr>
        <w:t>:</w:t>
      </w:r>
      <w:r w:rsidRPr="0076002F">
        <w:rPr>
          <w:rFonts w:ascii="Arial" w:hAnsi="Arial" w:cs="Arial"/>
          <w:sz w:val="20"/>
        </w:rPr>
        <w:t xml:space="preserve"> Se debe reportar el valor </w:t>
      </w:r>
      <w:r>
        <w:rPr>
          <w:rFonts w:ascii="Arial" w:hAnsi="Arial" w:cs="Arial"/>
          <w:sz w:val="20"/>
        </w:rPr>
        <w:t xml:space="preserve">correspondiente al pago del cupón y/o </w:t>
      </w:r>
      <w:r w:rsidR="00A50B81">
        <w:rPr>
          <w:rFonts w:ascii="Arial" w:hAnsi="Arial" w:cs="Arial"/>
          <w:sz w:val="20"/>
        </w:rPr>
        <w:t xml:space="preserve">del principal </w:t>
      </w:r>
      <w:r w:rsidR="00317512">
        <w:rPr>
          <w:rFonts w:ascii="Arial" w:hAnsi="Arial" w:cs="Arial"/>
          <w:sz w:val="20"/>
        </w:rPr>
        <w:t xml:space="preserve">de los títulos clasificados al vencimiento </w:t>
      </w:r>
      <w:r>
        <w:rPr>
          <w:rFonts w:ascii="Arial" w:hAnsi="Arial" w:cs="Arial"/>
          <w:sz w:val="20"/>
        </w:rPr>
        <w:t>para la</w:t>
      </w:r>
      <w:r w:rsidR="00317512">
        <w:rPr>
          <w:rFonts w:ascii="Arial" w:hAnsi="Arial" w:cs="Arial"/>
          <w:sz w:val="20"/>
        </w:rPr>
        <w:t>s bandas de tiempo correspondientes</w:t>
      </w:r>
      <w:r>
        <w:rPr>
          <w:rFonts w:ascii="Arial" w:hAnsi="Arial" w:cs="Arial"/>
          <w:sz w:val="20"/>
        </w:rPr>
        <w:t>.</w:t>
      </w:r>
    </w:p>
    <w:p w:rsidR="0076002F" w:rsidRPr="0076002F" w:rsidRDefault="0076002F" w:rsidP="0076002F">
      <w:pPr>
        <w:jc w:val="both"/>
        <w:rPr>
          <w:rFonts w:ascii="Arial" w:hAnsi="Arial" w:cs="Arial"/>
          <w:sz w:val="20"/>
        </w:rPr>
      </w:pPr>
    </w:p>
    <w:p w:rsidR="0076002F" w:rsidRPr="0076002F" w:rsidRDefault="0076002F" w:rsidP="0076002F">
      <w:pPr>
        <w:jc w:val="both"/>
        <w:rPr>
          <w:rFonts w:ascii="Arial" w:hAnsi="Arial" w:cs="Arial"/>
          <w:sz w:val="20"/>
        </w:rPr>
      </w:pPr>
      <w:r w:rsidRPr="0076002F">
        <w:rPr>
          <w:rFonts w:ascii="Arial" w:hAnsi="Arial" w:cs="Arial"/>
          <w:b/>
          <w:sz w:val="20"/>
        </w:rPr>
        <w:t>Subcuenta 999 – Total Flujos Positivos en Cuenta Propia (FPCP):</w:t>
      </w:r>
      <w:r w:rsidRPr="0076002F">
        <w:rPr>
          <w:rFonts w:ascii="Arial" w:hAnsi="Arial" w:cs="Arial"/>
          <w:sz w:val="20"/>
        </w:rPr>
        <w:t xml:space="preserve"> Se debe reportar la sumatoria de las subcuentas 005 a la 0</w:t>
      </w:r>
      <w:r w:rsidR="00FE0A66">
        <w:rPr>
          <w:rFonts w:ascii="Arial" w:hAnsi="Arial" w:cs="Arial"/>
          <w:sz w:val="20"/>
        </w:rPr>
        <w:t>60</w:t>
      </w:r>
      <w:r w:rsidRPr="0076002F">
        <w:rPr>
          <w:rFonts w:ascii="Arial" w:hAnsi="Arial" w:cs="Arial"/>
          <w:sz w:val="20"/>
        </w:rPr>
        <w:t>.</w:t>
      </w:r>
    </w:p>
    <w:p w:rsidR="0076002F" w:rsidRPr="0076002F" w:rsidRDefault="0076002F" w:rsidP="0076002F">
      <w:pPr>
        <w:jc w:val="both"/>
        <w:rPr>
          <w:rFonts w:ascii="Arial" w:hAnsi="Arial" w:cs="Arial"/>
          <w:sz w:val="20"/>
        </w:rPr>
      </w:pPr>
    </w:p>
    <w:p w:rsidR="0076002F" w:rsidRPr="0076002F" w:rsidRDefault="0076002F" w:rsidP="0076002F">
      <w:pPr>
        <w:jc w:val="both"/>
        <w:rPr>
          <w:rFonts w:ascii="Arial" w:hAnsi="Arial" w:cs="Arial"/>
          <w:b/>
          <w:sz w:val="20"/>
        </w:rPr>
      </w:pPr>
      <w:r w:rsidRPr="0076002F">
        <w:rPr>
          <w:rFonts w:ascii="Arial" w:hAnsi="Arial" w:cs="Arial"/>
          <w:b/>
          <w:sz w:val="20"/>
        </w:rPr>
        <w:t>UNIDAD DE CAPTURA 03 – MEDICION DE FLUJOS NEGATIVOS EN CUENTA PROPIA</w:t>
      </w:r>
      <w:r w:rsidR="00843788">
        <w:rPr>
          <w:rFonts w:ascii="Arial" w:hAnsi="Arial" w:cs="Arial"/>
          <w:b/>
          <w:sz w:val="20"/>
        </w:rPr>
        <w:t xml:space="preserve"> (FNCP)</w:t>
      </w:r>
      <w:r w:rsidRPr="0076002F">
        <w:rPr>
          <w:rFonts w:ascii="Arial" w:hAnsi="Arial" w:cs="Arial"/>
          <w:b/>
          <w:sz w:val="20"/>
        </w:rPr>
        <w:t>:</w:t>
      </w:r>
    </w:p>
    <w:p w:rsidR="0076002F" w:rsidRPr="0076002F" w:rsidRDefault="0076002F" w:rsidP="0076002F">
      <w:pPr>
        <w:jc w:val="both"/>
        <w:rPr>
          <w:rFonts w:ascii="Arial" w:hAnsi="Arial" w:cs="Arial"/>
          <w:sz w:val="20"/>
        </w:rPr>
      </w:pPr>
    </w:p>
    <w:p w:rsidR="0076002F" w:rsidRPr="0076002F" w:rsidRDefault="0076002F" w:rsidP="0076002F">
      <w:pPr>
        <w:jc w:val="both"/>
        <w:rPr>
          <w:rFonts w:ascii="Arial" w:hAnsi="Arial" w:cs="Arial"/>
          <w:sz w:val="20"/>
        </w:rPr>
      </w:pPr>
      <w:r w:rsidRPr="0076002F">
        <w:rPr>
          <w:rFonts w:ascii="Arial" w:hAnsi="Arial" w:cs="Arial"/>
          <w:sz w:val="20"/>
        </w:rPr>
        <w:t>En las subcuentas de la presente unidad de captura deben incorporarse los flujos de efectivo negativos (egresos) y el valor presente de los valores que la entidad va a entregar en cumplimiento de operaciones pactadas sobre títulos o valores en el desarrollo de operaciones por cuenta propia, así:</w:t>
      </w:r>
    </w:p>
    <w:p w:rsidR="0076002F" w:rsidRPr="0076002F" w:rsidRDefault="0076002F" w:rsidP="0076002F">
      <w:pPr>
        <w:jc w:val="both"/>
        <w:rPr>
          <w:rFonts w:ascii="Arial" w:hAnsi="Arial" w:cs="Arial"/>
          <w:sz w:val="20"/>
        </w:rPr>
      </w:pPr>
    </w:p>
    <w:p w:rsidR="0076002F" w:rsidRPr="0076002F" w:rsidRDefault="0076002F" w:rsidP="0076002F">
      <w:pPr>
        <w:numPr>
          <w:ilvl w:val="0"/>
          <w:numId w:val="21"/>
        </w:numPr>
        <w:ind w:left="705"/>
        <w:jc w:val="both"/>
        <w:rPr>
          <w:rFonts w:ascii="Arial" w:hAnsi="Arial" w:cs="Arial"/>
          <w:sz w:val="20"/>
        </w:rPr>
      </w:pPr>
      <w:r w:rsidRPr="0076002F">
        <w:rPr>
          <w:rFonts w:ascii="Arial" w:hAnsi="Arial" w:cs="Arial"/>
          <w:sz w:val="20"/>
        </w:rPr>
        <w:t>El valor de cumplimiento de los compromisos de recompra de las operaciones pasivas del mercado monetario vigentes a la fecha de corte del informe. Estos valores deben registrase en las bandas de tiempo en las cuales se cumplen las operaciones pasivas de regreso.</w:t>
      </w:r>
    </w:p>
    <w:p w:rsidR="0076002F" w:rsidRPr="0076002F" w:rsidRDefault="0076002F" w:rsidP="0076002F">
      <w:pPr>
        <w:jc w:val="both"/>
        <w:rPr>
          <w:rFonts w:ascii="Arial" w:hAnsi="Arial" w:cs="Arial"/>
          <w:sz w:val="20"/>
        </w:rPr>
      </w:pPr>
    </w:p>
    <w:p w:rsidR="0076002F" w:rsidRPr="0076002F" w:rsidRDefault="0076002F" w:rsidP="0076002F">
      <w:pPr>
        <w:numPr>
          <w:ilvl w:val="0"/>
          <w:numId w:val="21"/>
        </w:numPr>
        <w:ind w:left="705"/>
        <w:jc w:val="both"/>
        <w:rPr>
          <w:rFonts w:ascii="Arial" w:hAnsi="Arial" w:cs="Arial"/>
          <w:sz w:val="20"/>
        </w:rPr>
      </w:pPr>
      <w:r w:rsidRPr="0076002F">
        <w:rPr>
          <w:rFonts w:ascii="Arial" w:hAnsi="Arial" w:cs="Arial"/>
          <w:sz w:val="20"/>
        </w:rPr>
        <w:t>Los valores justos de intercambio de los títulos o valores recibidos como garantías en operaciones activas del mercado monetario. Estos valores deben registrase en las bandas de tiempo en las cuales se cumplen las operaciones activas de regreso.</w:t>
      </w:r>
    </w:p>
    <w:p w:rsidR="0076002F" w:rsidRPr="0076002F" w:rsidRDefault="0076002F" w:rsidP="0076002F">
      <w:pPr>
        <w:jc w:val="both"/>
        <w:rPr>
          <w:rFonts w:ascii="Arial" w:hAnsi="Arial" w:cs="Arial"/>
          <w:sz w:val="20"/>
        </w:rPr>
      </w:pPr>
    </w:p>
    <w:p w:rsidR="0076002F" w:rsidRPr="0076002F" w:rsidRDefault="0076002F" w:rsidP="0076002F">
      <w:pPr>
        <w:numPr>
          <w:ilvl w:val="0"/>
          <w:numId w:val="21"/>
        </w:numPr>
        <w:ind w:left="705"/>
        <w:jc w:val="both"/>
        <w:rPr>
          <w:rFonts w:ascii="Arial" w:hAnsi="Arial" w:cs="Arial"/>
          <w:sz w:val="20"/>
        </w:rPr>
      </w:pPr>
      <w:r w:rsidRPr="0076002F">
        <w:rPr>
          <w:rFonts w:ascii="Arial" w:hAnsi="Arial" w:cs="Arial"/>
          <w:sz w:val="20"/>
        </w:rPr>
        <w:t>Los valores justos de intercambio de los títulos o valores que se esperan entregar en cumplimiento de compromisos de venta, en operaciones a plazo o de contado, que se encuentren vigentes a la fecha de corte del informe. Estos valores deben registrase en las bandas de tiempo en las cuales se cumplen los compromiso de venta.</w:t>
      </w:r>
    </w:p>
    <w:p w:rsidR="0076002F" w:rsidRPr="0076002F" w:rsidRDefault="0076002F" w:rsidP="0076002F">
      <w:pPr>
        <w:jc w:val="both"/>
        <w:rPr>
          <w:rFonts w:ascii="Arial" w:hAnsi="Arial" w:cs="Arial"/>
          <w:sz w:val="20"/>
        </w:rPr>
      </w:pPr>
    </w:p>
    <w:p w:rsidR="0076002F" w:rsidRPr="0076002F" w:rsidRDefault="0076002F" w:rsidP="0076002F">
      <w:pPr>
        <w:numPr>
          <w:ilvl w:val="0"/>
          <w:numId w:val="21"/>
        </w:numPr>
        <w:ind w:left="705"/>
        <w:jc w:val="both"/>
        <w:rPr>
          <w:rFonts w:ascii="Arial" w:hAnsi="Arial" w:cs="Arial"/>
          <w:sz w:val="20"/>
        </w:rPr>
      </w:pPr>
      <w:r w:rsidRPr="0076002F">
        <w:rPr>
          <w:rFonts w:ascii="Arial" w:hAnsi="Arial" w:cs="Arial"/>
          <w:sz w:val="20"/>
        </w:rPr>
        <w:t>Los egresos generados en el cumplimiento de compromisos de compra, en operaciones a plazo o de contado, que se encuentren vigentes a la fecha de corte del informe. Estos valores deben registrase en las bandas de tiempo en las cuales se cumplen los compromisos de compra.</w:t>
      </w:r>
    </w:p>
    <w:p w:rsidR="0076002F" w:rsidRPr="0076002F" w:rsidRDefault="0076002F" w:rsidP="0076002F">
      <w:pPr>
        <w:jc w:val="both"/>
        <w:rPr>
          <w:rFonts w:ascii="Arial" w:hAnsi="Arial" w:cs="Arial"/>
          <w:sz w:val="20"/>
        </w:rPr>
      </w:pPr>
    </w:p>
    <w:p w:rsidR="0076002F" w:rsidRPr="0076002F" w:rsidRDefault="0076002F" w:rsidP="0076002F">
      <w:pPr>
        <w:jc w:val="both"/>
        <w:rPr>
          <w:rFonts w:ascii="Arial" w:hAnsi="Arial" w:cs="Arial"/>
          <w:sz w:val="20"/>
        </w:rPr>
      </w:pPr>
      <w:r w:rsidRPr="0076002F">
        <w:rPr>
          <w:rFonts w:ascii="Arial" w:hAnsi="Arial" w:cs="Arial"/>
          <w:b/>
          <w:sz w:val="20"/>
        </w:rPr>
        <w:t>Subcuenta 005 – Flujos negativos en operaciones repo pasivas:</w:t>
      </w:r>
      <w:r w:rsidRPr="0076002F">
        <w:rPr>
          <w:rFonts w:ascii="Arial" w:hAnsi="Arial" w:cs="Arial"/>
          <w:sz w:val="20"/>
        </w:rPr>
        <w:t xml:space="preserve"> Se debe reportar el valor de cumplimiento de los compromiso de recompra de las operaciones repo pasivas vigentes, incluyendo repos sobre repos, repos sobre simultáneas y repos sobre TTVs,para las bandas correspondientes.</w:t>
      </w:r>
    </w:p>
    <w:p w:rsidR="0076002F" w:rsidRPr="0076002F" w:rsidRDefault="0076002F" w:rsidP="0076002F">
      <w:pPr>
        <w:jc w:val="both"/>
        <w:rPr>
          <w:rFonts w:ascii="Arial" w:hAnsi="Arial" w:cs="Arial"/>
          <w:sz w:val="20"/>
        </w:rPr>
      </w:pPr>
    </w:p>
    <w:p w:rsidR="0076002F" w:rsidRPr="0076002F" w:rsidRDefault="0076002F" w:rsidP="0076002F">
      <w:pPr>
        <w:jc w:val="both"/>
        <w:rPr>
          <w:rFonts w:ascii="Arial" w:hAnsi="Arial" w:cs="Arial"/>
          <w:sz w:val="20"/>
        </w:rPr>
      </w:pPr>
      <w:r w:rsidRPr="0076002F">
        <w:rPr>
          <w:rFonts w:ascii="Arial" w:hAnsi="Arial" w:cs="Arial"/>
          <w:b/>
          <w:sz w:val="20"/>
        </w:rPr>
        <w:t>Subcuenta 010 – Flujos negativos en operaciones repo activas:</w:t>
      </w:r>
      <w:r w:rsidRPr="0076002F">
        <w:rPr>
          <w:rFonts w:ascii="Arial" w:hAnsi="Arial" w:cs="Arial"/>
          <w:sz w:val="20"/>
        </w:rPr>
        <w:t xml:space="preserve"> Se debe reportar el valor justo de los títulos o valores recibidos en desarrollo de operaciones repo activas vigentes, para cada una de las bandas correspondientes.</w:t>
      </w:r>
    </w:p>
    <w:p w:rsidR="0076002F" w:rsidRPr="0076002F" w:rsidRDefault="0076002F" w:rsidP="0076002F">
      <w:pPr>
        <w:jc w:val="both"/>
        <w:rPr>
          <w:rFonts w:ascii="Arial" w:hAnsi="Arial" w:cs="Arial"/>
          <w:sz w:val="20"/>
        </w:rPr>
      </w:pPr>
    </w:p>
    <w:p w:rsidR="0076002F" w:rsidRPr="0076002F" w:rsidRDefault="0076002F" w:rsidP="0076002F">
      <w:pPr>
        <w:jc w:val="both"/>
        <w:rPr>
          <w:rFonts w:ascii="Arial" w:hAnsi="Arial" w:cs="Arial"/>
          <w:sz w:val="20"/>
        </w:rPr>
      </w:pPr>
      <w:r w:rsidRPr="0076002F">
        <w:rPr>
          <w:rFonts w:ascii="Arial" w:hAnsi="Arial" w:cs="Arial"/>
          <w:b/>
          <w:sz w:val="20"/>
        </w:rPr>
        <w:t>Subcuenta 015 – Flujos negativos en operaciones pasivas de simultáneas:</w:t>
      </w:r>
      <w:r w:rsidRPr="0076002F">
        <w:rPr>
          <w:rFonts w:ascii="Arial" w:hAnsi="Arial" w:cs="Arial"/>
          <w:sz w:val="20"/>
        </w:rPr>
        <w:t xml:space="preserve"> Se debe reportar el valor de cumplimiento de los compromisos de recompra de las operaciones pasivas de simultáneas vigentes, incluyendo simultáneas sobre simultáneas, simultáneas sobre repos y simultáneas sobre TTVs, para cada una de las bandas correspondientes.</w:t>
      </w:r>
    </w:p>
    <w:p w:rsidR="0076002F" w:rsidRPr="0076002F" w:rsidRDefault="0076002F" w:rsidP="0076002F">
      <w:pPr>
        <w:jc w:val="both"/>
        <w:rPr>
          <w:rFonts w:ascii="Arial" w:hAnsi="Arial" w:cs="Arial"/>
          <w:sz w:val="20"/>
        </w:rPr>
      </w:pPr>
    </w:p>
    <w:p w:rsidR="0076002F" w:rsidRPr="0076002F" w:rsidRDefault="0076002F" w:rsidP="0076002F">
      <w:pPr>
        <w:jc w:val="both"/>
        <w:rPr>
          <w:rFonts w:ascii="Arial" w:hAnsi="Arial" w:cs="Arial"/>
          <w:sz w:val="20"/>
        </w:rPr>
      </w:pPr>
      <w:r w:rsidRPr="0076002F">
        <w:rPr>
          <w:rFonts w:ascii="Arial" w:hAnsi="Arial" w:cs="Arial"/>
          <w:b/>
          <w:sz w:val="20"/>
        </w:rPr>
        <w:t>Subcuenta 020 – Flujos negativos en operaciones activas de simultáneas:</w:t>
      </w:r>
      <w:r w:rsidRPr="0076002F">
        <w:rPr>
          <w:rFonts w:ascii="Arial" w:hAnsi="Arial" w:cs="Arial"/>
          <w:sz w:val="20"/>
        </w:rPr>
        <w:t xml:space="preserve"> Se debe reportar el valor justo de intercambio, de los títulos o valores recibidos en desarrollo de operaciones activas de simultáneas, para cada una de las bandas correspondientes.</w:t>
      </w:r>
    </w:p>
    <w:p w:rsidR="0076002F" w:rsidRPr="0076002F" w:rsidRDefault="0076002F" w:rsidP="0076002F">
      <w:pPr>
        <w:jc w:val="both"/>
        <w:rPr>
          <w:rFonts w:ascii="Arial" w:hAnsi="Arial" w:cs="Arial"/>
          <w:sz w:val="20"/>
        </w:rPr>
      </w:pPr>
    </w:p>
    <w:p w:rsidR="0076002F" w:rsidRPr="0076002F" w:rsidRDefault="0076002F" w:rsidP="0076002F">
      <w:pPr>
        <w:jc w:val="both"/>
        <w:rPr>
          <w:rFonts w:ascii="Arial" w:hAnsi="Arial" w:cs="Arial"/>
          <w:sz w:val="20"/>
        </w:rPr>
      </w:pPr>
      <w:r w:rsidRPr="0076002F">
        <w:rPr>
          <w:rFonts w:ascii="Arial" w:hAnsi="Arial" w:cs="Arial"/>
          <w:b/>
          <w:sz w:val="20"/>
        </w:rPr>
        <w:t>Subcuenta 025 – Flujos negativos en operaciones de transferencia temporal de valores – TTV en las cuales la entidad actúa como receptor:</w:t>
      </w:r>
      <w:r w:rsidRPr="0076002F">
        <w:rPr>
          <w:rFonts w:ascii="Arial" w:hAnsi="Arial" w:cs="Arial"/>
          <w:sz w:val="20"/>
        </w:rPr>
        <w:t xml:space="preserve"> Se debe reportar el valor justo de intercambio, de los títulos o valores recibidos en  desarrollo de operaciones TTV en la cuales la entidad actúa como receptor, para cada una de las bandas correspondientes.</w:t>
      </w:r>
    </w:p>
    <w:p w:rsidR="0076002F" w:rsidRPr="0076002F" w:rsidRDefault="0076002F" w:rsidP="0076002F">
      <w:pPr>
        <w:jc w:val="both"/>
        <w:rPr>
          <w:rFonts w:ascii="Arial" w:hAnsi="Arial" w:cs="Arial"/>
          <w:sz w:val="20"/>
        </w:rPr>
      </w:pPr>
    </w:p>
    <w:p w:rsidR="0076002F" w:rsidRPr="0076002F" w:rsidRDefault="0076002F" w:rsidP="0076002F">
      <w:pPr>
        <w:jc w:val="both"/>
        <w:rPr>
          <w:rFonts w:ascii="Arial" w:hAnsi="Arial" w:cs="Arial"/>
          <w:sz w:val="20"/>
        </w:rPr>
      </w:pPr>
      <w:r w:rsidRPr="0076002F">
        <w:rPr>
          <w:rFonts w:ascii="Arial" w:hAnsi="Arial" w:cs="Arial"/>
          <w:b/>
          <w:sz w:val="20"/>
        </w:rPr>
        <w:t>Subcuenta 030 – Flujos negativos en operaciones de transferencia temporal de valores – TTV en las cuales la entidad actúa como originadora:</w:t>
      </w:r>
      <w:r w:rsidRPr="0076002F">
        <w:rPr>
          <w:rFonts w:ascii="Arial" w:hAnsi="Arial" w:cs="Arial"/>
          <w:sz w:val="20"/>
        </w:rPr>
        <w:t xml:space="preserve"> Se debe reportar el valor de cumplimiento del compromiso, para cada una de las bandas correspondientes. Tratándose de TTVs sobre acciones este valor corresponde al valor base de la operación.</w:t>
      </w:r>
    </w:p>
    <w:p w:rsidR="0076002F" w:rsidRPr="0076002F" w:rsidRDefault="0076002F" w:rsidP="0076002F">
      <w:pPr>
        <w:jc w:val="both"/>
        <w:rPr>
          <w:rFonts w:ascii="Arial" w:hAnsi="Arial" w:cs="Arial"/>
          <w:sz w:val="20"/>
        </w:rPr>
      </w:pPr>
    </w:p>
    <w:p w:rsidR="0076002F" w:rsidRPr="0076002F" w:rsidRDefault="0076002F" w:rsidP="0076002F">
      <w:pPr>
        <w:jc w:val="both"/>
        <w:rPr>
          <w:rFonts w:ascii="Arial" w:hAnsi="Arial" w:cs="Arial"/>
          <w:sz w:val="20"/>
        </w:rPr>
      </w:pPr>
      <w:r w:rsidRPr="0076002F">
        <w:rPr>
          <w:rFonts w:ascii="Arial" w:hAnsi="Arial" w:cs="Arial"/>
          <w:b/>
          <w:sz w:val="20"/>
        </w:rPr>
        <w:t xml:space="preserve">Subcuenta 035 – Flujos negativos en operaciones de contado </w:t>
      </w:r>
      <w:r w:rsidR="003649CC">
        <w:rPr>
          <w:rFonts w:ascii="Arial" w:hAnsi="Arial" w:cs="Arial"/>
          <w:b/>
          <w:sz w:val="20"/>
        </w:rPr>
        <w:t>y</w:t>
      </w:r>
      <w:r w:rsidRPr="0076002F">
        <w:rPr>
          <w:rFonts w:ascii="Arial" w:hAnsi="Arial" w:cs="Arial"/>
          <w:b/>
          <w:sz w:val="20"/>
        </w:rPr>
        <w:t xml:space="preserve"> a plazo de venta en pesos:</w:t>
      </w:r>
      <w:r w:rsidRPr="0076002F">
        <w:rPr>
          <w:rFonts w:ascii="Arial" w:hAnsi="Arial" w:cs="Arial"/>
          <w:sz w:val="20"/>
        </w:rPr>
        <w:t xml:space="preserve"> Se debe reportar el valor justo de intercambio de los títulos o valores que se han vendido en compromisos de contado o a plazo vigentes, incluyendo las ventas en corto sobre repos, simultáneas y TTVs, para cada una de las bandas correspondientes. </w:t>
      </w:r>
    </w:p>
    <w:p w:rsidR="0076002F" w:rsidRPr="0076002F" w:rsidRDefault="0076002F" w:rsidP="0076002F">
      <w:pPr>
        <w:jc w:val="both"/>
        <w:rPr>
          <w:rFonts w:ascii="Arial" w:hAnsi="Arial" w:cs="Arial"/>
          <w:sz w:val="20"/>
        </w:rPr>
      </w:pPr>
    </w:p>
    <w:p w:rsidR="0076002F" w:rsidRPr="0076002F" w:rsidRDefault="0076002F" w:rsidP="0076002F">
      <w:pPr>
        <w:jc w:val="both"/>
        <w:rPr>
          <w:rFonts w:ascii="Arial" w:hAnsi="Arial" w:cs="Arial"/>
          <w:sz w:val="20"/>
        </w:rPr>
      </w:pPr>
      <w:r w:rsidRPr="0076002F">
        <w:rPr>
          <w:rFonts w:ascii="Arial" w:hAnsi="Arial" w:cs="Arial"/>
          <w:b/>
          <w:sz w:val="20"/>
        </w:rPr>
        <w:t xml:space="preserve">Subcuenta 040 – Flujos negativos en operaciones de contado </w:t>
      </w:r>
      <w:r w:rsidR="003649CC">
        <w:rPr>
          <w:rFonts w:ascii="Arial" w:hAnsi="Arial" w:cs="Arial"/>
          <w:b/>
          <w:sz w:val="20"/>
        </w:rPr>
        <w:t>y</w:t>
      </w:r>
      <w:r w:rsidRPr="0076002F">
        <w:rPr>
          <w:rFonts w:ascii="Arial" w:hAnsi="Arial" w:cs="Arial"/>
          <w:b/>
          <w:sz w:val="20"/>
        </w:rPr>
        <w:t xml:space="preserve"> a plazo de compra en pesos:</w:t>
      </w:r>
      <w:r w:rsidRPr="0076002F">
        <w:rPr>
          <w:rFonts w:ascii="Arial" w:hAnsi="Arial" w:cs="Arial"/>
          <w:sz w:val="20"/>
        </w:rPr>
        <w:t xml:space="preserve"> Se debe reportar el valor de cumplimiento de los compromisos de compra en operaciones de contado o a plazo vigentes, para cada una de las bandas correspondientes</w:t>
      </w:r>
    </w:p>
    <w:p w:rsidR="0076002F" w:rsidRPr="0076002F" w:rsidRDefault="0076002F" w:rsidP="0076002F">
      <w:pPr>
        <w:jc w:val="both"/>
        <w:rPr>
          <w:rFonts w:ascii="Arial" w:hAnsi="Arial" w:cs="Arial"/>
          <w:sz w:val="20"/>
        </w:rPr>
      </w:pPr>
    </w:p>
    <w:p w:rsidR="0076002F" w:rsidRPr="0076002F" w:rsidRDefault="0076002F" w:rsidP="0076002F">
      <w:pPr>
        <w:jc w:val="both"/>
        <w:rPr>
          <w:rFonts w:ascii="Arial" w:hAnsi="Arial" w:cs="Arial"/>
          <w:sz w:val="20"/>
        </w:rPr>
      </w:pPr>
      <w:r w:rsidRPr="0076002F">
        <w:rPr>
          <w:rFonts w:ascii="Arial" w:hAnsi="Arial" w:cs="Arial"/>
          <w:b/>
          <w:sz w:val="20"/>
        </w:rPr>
        <w:t xml:space="preserve">Subcuenta 045 – Flujos negativos en operaciones de contado </w:t>
      </w:r>
      <w:r w:rsidR="003649CC">
        <w:rPr>
          <w:rFonts w:ascii="Arial" w:hAnsi="Arial" w:cs="Arial"/>
          <w:b/>
          <w:sz w:val="20"/>
        </w:rPr>
        <w:t>y</w:t>
      </w:r>
      <w:r w:rsidRPr="0076002F">
        <w:rPr>
          <w:rFonts w:ascii="Arial" w:hAnsi="Arial" w:cs="Arial"/>
          <w:b/>
          <w:sz w:val="20"/>
        </w:rPr>
        <w:t xml:space="preserve"> a plazo de venta en divisas:</w:t>
      </w:r>
      <w:r w:rsidRPr="0076002F">
        <w:rPr>
          <w:rFonts w:ascii="Arial" w:hAnsi="Arial" w:cs="Arial"/>
          <w:sz w:val="20"/>
        </w:rPr>
        <w:t xml:space="preserve"> Se debe reportar el equivalente en pesos de las divisas que se han vendido en compromisos de contado o a plazo en divisas vigentes, para cada una de las bandas correspondientes.</w:t>
      </w:r>
    </w:p>
    <w:p w:rsidR="0076002F" w:rsidRPr="0076002F" w:rsidRDefault="0076002F" w:rsidP="0076002F">
      <w:pPr>
        <w:jc w:val="both"/>
        <w:rPr>
          <w:rFonts w:ascii="Arial" w:hAnsi="Arial" w:cs="Arial"/>
          <w:sz w:val="20"/>
        </w:rPr>
      </w:pPr>
    </w:p>
    <w:p w:rsidR="0076002F" w:rsidRPr="0076002F" w:rsidRDefault="0076002F" w:rsidP="0076002F">
      <w:pPr>
        <w:jc w:val="both"/>
        <w:rPr>
          <w:rFonts w:ascii="Arial" w:hAnsi="Arial" w:cs="Arial"/>
          <w:sz w:val="20"/>
        </w:rPr>
      </w:pPr>
      <w:r w:rsidRPr="0076002F">
        <w:rPr>
          <w:rFonts w:ascii="Arial" w:hAnsi="Arial" w:cs="Arial"/>
          <w:b/>
          <w:sz w:val="20"/>
        </w:rPr>
        <w:t xml:space="preserve">Subcuenta 050 – Flujos negativos en operaciones de contado </w:t>
      </w:r>
      <w:r w:rsidR="003649CC">
        <w:rPr>
          <w:rFonts w:ascii="Arial" w:hAnsi="Arial" w:cs="Arial"/>
          <w:b/>
          <w:sz w:val="20"/>
        </w:rPr>
        <w:t>y</w:t>
      </w:r>
      <w:r w:rsidRPr="0076002F">
        <w:rPr>
          <w:rFonts w:ascii="Arial" w:hAnsi="Arial" w:cs="Arial"/>
          <w:b/>
          <w:sz w:val="20"/>
        </w:rPr>
        <w:t xml:space="preserve"> a plazo de compra en divisas:</w:t>
      </w:r>
      <w:r w:rsidRPr="0076002F">
        <w:rPr>
          <w:rFonts w:ascii="Arial" w:hAnsi="Arial" w:cs="Arial"/>
          <w:sz w:val="20"/>
        </w:rPr>
        <w:t xml:space="preserve"> Se debe reportar el valor de cumplimiento de los compromisos de compra en operaciones de contado o a plazo en divisas vigentes, para cada una de las bandas correspondientes.</w:t>
      </w:r>
    </w:p>
    <w:p w:rsidR="0076002F" w:rsidRPr="0076002F" w:rsidRDefault="0076002F" w:rsidP="0076002F">
      <w:pPr>
        <w:jc w:val="both"/>
        <w:rPr>
          <w:rFonts w:ascii="Arial" w:hAnsi="Arial" w:cs="Arial"/>
          <w:sz w:val="20"/>
        </w:rPr>
      </w:pPr>
    </w:p>
    <w:p w:rsidR="00CF0CF9" w:rsidRPr="00AB64FA" w:rsidRDefault="0076002F" w:rsidP="00CF0CF9">
      <w:pPr>
        <w:jc w:val="both"/>
        <w:rPr>
          <w:rFonts w:ascii="Arial" w:hAnsi="Arial" w:cs="Arial"/>
          <w:sz w:val="20"/>
        </w:rPr>
      </w:pPr>
      <w:r w:rsidRPr="0076002F">
        <w:rPr>
          <w:rFonts w:ascii="Arial" w:hAnsi="Arial" w:cs="Arial"/>
          <w:b/>
          <w:sz w:val="20"/>
        </w:rPr>
        <w:t>Subcuenta 055 – Flujos negativos por instrumentos financieros derivados:</w:t>
      </w:r>
      <w:r w:rsidRPr="0076002F">
        <w:rPr>
          <w:rFonts w:ascii="Arial" w:hAnsi="Arial" w:cs="Arial"/>
          <w:sz w:val="20"/>
        </w:rPr>
        <w:t xml:space="preserve"> Se debe reportar el valor de cumplimiento de los compromisos de compra efectuados a través de instrumentos financieros derivados vigentes</w:t>
      </w:r>
      <w:r w:rsidR="00CF0CF9">
        <w:rPr>
          <w:rFonts w:ascii="Arial" w:hAnsi="Arial" w:cs="Arial"/>
          <w:sz w:val="20"/>
        </w:rPr>
        <w:t xml:space="preserve"> (obligaciones)</w:t>
      </w:r>
      <w:r w:rsidRPr="0076002F">
        <w:rPr>
          <w:rFonts w:ascii="Arial" w:hAnsi="Arial" w:cs="Arial"/>
          <w:sz w:val="20"/>
        </w:rPr>
        <w:t>, para cada una de las bandas correspondientes. Del mismo modo, se debe reportar el valor justo de intercambio, de los títulos o valores que se han vendido en compromisos de venta efectuados a través de instrumentos financieros derivados vigentes</w:t>
      </w:r>
      <w:r w:rsidR="00CF0CF9">
        <w:rPr>
          <w:rFonts w:ascii="Arial" w:hAnsi="Arial" w:cs="Arial"/>
          <w:sz w:val="20"/>
        </w:rPr>
        <w:t xml:space="preserve"> (obligaciones)</w:t>
      </w:r>
      <w:r w:rsidRPr="0076002F">
        <w:rPr>
          <w:rFonts w:ascii="Arial" w:hAnsi="Arial" w:cs="Arial"/>
          <w:sz w:val="20"/>
        </w:rPr>
        <w:t xml:space="preserve">, para cada una de las </w:t>
      </w:r>
      <w:r w:rsidRPr="0076002F">
        <w:rPr>
          <w:rFonts w:ascii="Arial" w:hAnsi="Arial" w:cs="Arial"/>
          <w:sz w:val="20"/>
        </w:rPr>
        <w:lastRenderedPageBreak/>
        <w:t>bandas correspondientes. En esta subcuenta sólo se registran instrumentos financieros derivados que no se encuentren compensados y liquidados a través de cámaras de riesgo central de contraparte</w:t>
      </w:r>
      <w:r w:rsidRPr="00AB64FA">
        <w:rPr>
          <w:rFonts w:ascii="Arial" w:hAnsi="Arial" w:cs="Arial"/>
          <w:sz w:val="20"/>
        </w:rPr>
        <w:t xml:space="preserve">. </w:t>
      </w:r>
      <w:r w:rsidR="00CF0CF9" w:rsidRPr="00AB64FA">
        <w:rPr>
          <w:rFonts w:ascii="Arial" w:hAnsi="Arial" w:cs="Arial"/>
          <w:sz w:val="20"/>
        </w:rPr>
        <w:t>Para los instrumentos financieros derivados sin entrega se debe registrar el valor neto resultante del derecho y la obligación si este resultado es negativo.</w:t>
      </w:r>
    </w:p>
    <w:p w:rsidR="0076002F" w:rsidRPr="00AB64FA" w:rsidRDefault="0076002F" w:rsidP="0076002F">
      <w:pPr>
        <w:jc w:val="both"/>
        <w:rPr>
          <w:rFonts w:ascii="Arial" w:hAnsi="Arial" w:cs="Arial"/>
          <w:sz w:val="20"/>
        </w:rPr>
      </w:pPr>
    </w:p>
    <w:p w:rsidR="0076002F" w:rsidRPr="0076002F" w:rsidRDefault="0076002F" w:rsidP="0076002F">
      <w:pPr>
        <w:jc w:val="both"/>
        <w:rPr>
          <w:rFonts w:ascii="Arial" w:hAnsi="Arial" w:cs="Arial"/>
          <w:sz w:val="20"/>
        </w:rPr>
      </w:pPr>
      <w:r w:rsidRPr="0076002F">
        <w:rPr>
          <w:rFonts w:ascii="Arial" w:hAnsi="Arial" w:cs="Arial"/>
          <w:b/>
          <w:sz w:val="20"/>
        </w:rPr>
        <w:t>Subcuenta 060 – Flujos negativos por otras obligaciones financieras:</w:t>
      </w:r>
      <w:r w:rsidRPr="0076002F">
        <w:rPr>
          <w:rFonts w:ascii="Arial" w:hAnsi="Arial" w:cs="Arial"/>
          <w:sz w:val="20"/>
        </w:rPr>
        <w:t xml:space="preserve"> Se debe reportar el valor de las obligaciones financieras</w:t>
      </w:r>
      <w:r w:rsidR="00326DC5">
        <w:rPr>
          <w:rFonts w:ascii="Arial" w:hAnsi="Arial" w:cs="Arial"/>
          <w:sz w:val="20"/>
        </w:rPr>
        <w:t>:</w:t>
      </w:r>
      <w:r w:rsidR="00A60FDA">
        <w:rPr>
          <w:rFonts w:ascii="Arial" w:hAnsi="Arial" w:cs="Arial"/>
          <w:sz w:val="20"/>
        </w:rPr>
        <w:t xml:space="preserve"> sobregiros, pagares, cartas de crédito y aceptaciones con Bancos Nacionales, Bancos del Exterior y Otras entidades Financieras Nacionales</w:t>
      </w:r>
      <w:r w:rsidRPr="0076002F">
        <w:rPr>
          <w:rFonts w:ascii="Arial" w:hAnsi="Arial" w:cs="Arial"/>
          <w:sz w:val="20"/>
        </w:rPr>
        <w:t>, para cada una de las bandas correspondientes. En todo caso, el valor de los sobregiros deberá ser reportado en la banda a un día.</w:t>
      </w:r>
    </w:p>
    <w:p w:rsidR="0076002F" w:rsidRPr="0076002F" w:rsidRDefault="0076002F" w:rsidP="0076002F">
      <w:pPr>
        <w:jc w:val="both"/>
        <w:rPr>
          <w:rFonts w:ascii="Arial" w:hAnsi="Arial" w:cs="Arial"/>
          <w:sz w:val="20"/>
        </w:rPr>
      </w:pPr>
    </w:p>
    <w:p w:rsidR="0076002F" w:rsidRPr="0076002F" w:rsidRDefault="0076002F" w:rsidP="0076002F">
      <w:pPr>
        <w:jc w:val="both"/>
        <w:rPr>
          <w:rFonts w:ascii="Arial" w:hAnsi="Arial" w:cs="Arial"/>
          <w:sz w:val="20"/>
        </w:rPr>
      </w:pPr>
      <w:r w:rsidRPr="0076002F">
        <w:rPr>
          <w:rFonts w:ascii="Arial" w:hAnsi="Arial" w:cs="Arial"/>
          <w:b/>
          <w:sz w:val="20"/>
        </w:rPr>
        <w:t>Subcuenta 999 – Total Flujos Negativos en Cuenta Propia (FNCP):</w:t>
      </w:r>
      <w:r w:rsidRPr="0076002F">
        <w:rPr>
          <w:rFonts w:ascii="Arial" w:hAnsi="Arial" w:cs="Arial"/>
          <w:sz w:val="20"/>
        </w:rPr>
        <w:t xml:space="preserve"> Se debe reportar la sumatoria de las subcuentas 005 a la 060.</w:t>
      </w:r>
    </w:p>
    <w:p w:rsidR="0076002F" w:rsidRPr="0076002F" w:rsidRDefault="0076002F" w:rsidP="0076002F">
      <w:pPr>
        <w:jc w:val="both"/>
        <w:rPr>
          <w:rFonts w:ascii="Arial" w:hAnsi="Arial" w:cs="Arial"/>
          <w:sz w:val="20"/>
        </w:rPr>
      </w:pPr>
    </w:p>
    <w:p w:rsidR="0076002F" w:rsidRPr="0076002F" w:rsidRDefault="0076002F" w:rsidP="0076002F">
      <w:pPr>
        <w:jc w:val="both"/>
        <w:rPr>
          <w:rFonts w:ascii="Arial" w:hAnsi="Arial" w:cs="Arial"/>
          <w:b/>
          <w:sz w:val="20"/>
        </w:rPr>
      </w:pPr>
      <w:r w:rsidRPr="0076002F">
        <w:rPr>
          <w:rFonts w:ascii="Arial" w:hAnsi="Arial" w:cs="Arial"/>
          <w:b/>
          <w:sz w:val="20"/>
        </w:rPr>
        <w:t>UNIDAD DE CAPTURA 04 – MEDICION DEL REQUERIMIENTO DE LIQUIDEZ NETO POR CUENTA PROPIA</w:t>
      </w:r>
      <w:r w:rsidR="00843788">
        <w:rPr>
          <w:rFonts w:ascii="Arial" w:hAnsi="Arial" w:cs="Arial"/>
          <w:b/>
          <w:sz w:val="20"/>
        </w:rPr>
        <w:t xml:space="preserve"> (RLN</w:t>
      </w:r>
      <w:r w:rsidR="00843788" w:rsidRPr="00843788">
        <w:rPr>
          <w:rFonts w:ascii="Arial" w:hAnsi="Arial" w:cs="Arial"/>
          <w:b/>
          <w:sz w:val="20"/>
          <w:vertAlign w:val="subscript"/>
        </w:rPr>
        <w:t>CP</w:t>
      </w:r>
      <w:r w:rsidR="00843788">
        <w:rPr>
          <w:rFonts w:ascii="Arial" w:hAnsi="Arial" w:cs="Arial"/>
          <w:b/>
          <w:sz w:val="20"/>
        </w:rPr>
        <w:t>)</w:t>
      </w:r>
      <w:r w:rsidRPr="0076002F">
        <w:rPr>
          <w:rFonts w:ascii="Arial" w:hAnsi="Arial" w:cs="Arial"/>
          <w:b/>
          <w:sz w:val="20"/>
        </w:rPr>
        <w:t>:</w:t>
      </w:r>
    </w:p>
    <w:p w:rsidR="0076002F" w:rsidRPr="0076002F" w:rsidRDefault="0076002F" w:rsidP="0076002F">
      <w:pPr>
        <w:jc w:val="both"/>
        <w:rPr>
          <w:rFonts w:ascii="Arial" w:hAnsi="Arial" w:cs="Arial"/>
          <w:sz w:val="20"/>
        </w:rPr>
      </w:pPr>
    </w:p>
    <w:p w:rsidR="0076002F" w:rsidRDefault="0076002F" w:rsidP="0076002F">
      <w:pPr>
        <w:jc w:val="both"/>
        <w:rPr>
          <w:rFonts w:ascii="Arial" w:hAnsi="Arial" w:cs="Arial"/>
          <w:sz w:val="20"/>
        </w:rPr>
      </w:pPr>
      <w:r w:rsidRPr="0076002F">
        <w:rPr>
          <w:rFonts w:ascii="Arial" w:hAnsi="Arial" w:cs="Arial"/>
          <w:b/>
          <w:sz w:val="20"/>
        </w:rPr>
        <w:t>Subcuenta 005 – Requerimiento de Liquidez Neto por Cuenta Propia (RLNCP):</w:t>
      </w:r>
      <w:r w:rsidRPr="0076002F">
        <w:rPr>
          <w:rFonts w:ascii="Arial" w:hAnsi="Arial" w:cs="Arial"/>
          <w:sz w:val="20"/>
        </w:rPr>
        <w:t xml:space="preserve"> Se debe reportar la diferencia entre los Flujos Negativos en Cuenta Propia (subcuenta 999 de la Unidad de Captura 03) y los Flujos Positivos en Cuenta Propia (subcuenta 999 de la Unidad de Captura 02). En todo caso, este requerimiento no podrá ser inferior </w:t>
      </w:r>
      <w:r w:rsidR="00CF0CF9">
        <w:rPr>
          <w:rFonts w:ascii="Arial" w:hAnsi="Arial" w:cs="Arial"/>
          <w:sz w:val="20"/>
        </w:rPr>
        <w:t>a 0.</w:t>
      </w:r>
    </w:p>
    <w:p w:rsidR="0076002F" w:rsidRPr="0076002F" w:rsidRDefault="0076002F" w:rsidP="0076002F">
      <w:pPr>
        <w:jc w:val="both"/>
        <w:rPr>
          <w:rFonts w:ascii="Arial" w:hAnsi="Arial" w:cs="Arial"/>
          <w:sz w:val="20"/>
        </w:rPr>
      </w:pPr>
    </w:p>
    <w:p w:rsidR="00CF0CF9" w:rsidRPr="00F65A80" w:rsidRDefault="00A60FDA" w:rsidP="00CF0CF9">
      <w:pPr>
        <w:tabs>
          <w:tab w:val="left" w:pos="945"/>
        </w:tabs>
        <w:jc w:val="center"/>
        <w:outlineLvl w:val="0"/>
        <w:rPr>
          <w:rFonts w:ascii="Arial" w:hAnsi="Arial" w:cs="Arial"/>
          <w:b/>
          <w:spacing w:val="0"/>
          <w:sz w:val="20"/>
        </w:rPr>
      </w:pPr>
      <w:r w:rsidRPr="00843788">
        <w:rPr>
          <w:rFonts w:ascii="Arial" w:hAnsi="Arial" w:cs="Arial"/>
          <w:position w:val="-12"/>
          <w:sz w:val="20"/>
        </w:rPr>
        <w:object w:dxaOrig="3260" w:dyaOrig="360">
          <v:shape id="_x0000_i1026" type="#_x0000_t75" style="width:163.5pt;height:18pt" o:ole="">
            <v:imagedata r:id="rId11" o:title=""/>
          </v:shape>
          <o:OLEObject Type="Embed" ProgID="Equation.3" ShapeID="_x0000_i1026" DrawAspect="Content" ObjectID="_1459763476" r:id="rId12"/>
        </w:object>
      </w:r>
    </w:p>
    <w:p w:rsidR="00CF0CF9" w:rsidRPr="0076002F" w:rsidRDefault="00CF0CF9" w:rsidP="0076002F">
      <w:pPr>
        <w:jc w:val="center"/>
        <w:rPr>
          <w:rFonts w:ascii="Arial" w:hAnsi="Arial" w:cs="Arial"/>
          <w:sz w:val="20"/>
        </w:rPr>
      </w:pPr>
    </w:p>
    <w:p w:rsidR="00617984" w:rsidRPr="0076002F" w:rsidRDefault="00617984" w:rsidP="00617984">
      <w:pPr>
        <w:rPr>
          <w:rFonts w:ascii="Arial" w:hAnsi="Arial" w:cs="Arial"/>
          <w:sz w:val="20"/>
        </w:rPr>
      </w:pPr>
    </w:p>
    <w:p w:rsidR="0076002F" w:rsidRPr="0076002F" w:rsidRDefault="0076002F" w:rsidP="0076002F">
      <w:pPr>
        <w:jc w:val="both"/>
        <w:outlineLvl w:val="0"/>
        <w:rPr>
          <w:rFonts w:ascii="Arial" w:hAnsi="Arial" w:cs="Arial"/>
          <w:b/>
          <w:spacing w:val="0"/>
          <w:sz w:val="20"/>
        </w:rPr>
      </w:pPr>
      <w:r w:rsidRPr="0076002F">
        <w:rPr>
          <w:rFonts w:ascii="Arial" w:hAnsi="Arial" w:cs="Arial"/>
          <w:b/>
          <w:spacing w:val="0"/>
          <w:sz w:val="20"/>
        </w:rPr>
        <w:t xml:space="preserve">UNIDAD DE CAPTURA 05 – MEDICION DE </w:t>
      </w:r>
      <w:r w:rsidR="00F30C49">
        <w:rPr>
          <w:rFonts w:ascii="Arial" w:hAnsi="Arial" w:cs="Arial"/>
          <w:b/>
          <w:spacing w:val="0"/>
          <w:sz w:val="20"/>
        </w:rPr>
        <w:t xml:space="preserve">LAS </w:t>
      </w:r>
      <w:r w:rsidRPr="0076002F">
        <w:rPr>
          <w:rFonts w:ascii="Arial" w:hAnsi="Arial" w:cs="Arial"/>
          <w:b/>
          <w:spacing w:val="0"/>
          <w:sz w:val="20"/>
        </w:rPr>
        <w:t>POSICIONES EN LAS OPERACIONES CRUZADAS POR CUENTA DE TERCEROS:</w:t>
      </w:r>
    </w:p>
    <w:p w:rsidR="0076002F" w:rsidRPr="0076002F" w:rsidRDefault="0076002F" w:rsidP="0076002F">
      <w:pPr>
        <w:jc w:val="both"/>
        <w:outlineLvl w:val="0"/>
        <w:rPr>
          <w:rFonts w:ascii="Arial" w:hAnsi="Arial" w:cs="Arial"/>
          <w:b/>
          <w:spacing w:val="0"/>
          <w:sz w:val="20"/>
        </w:rPr>
      </w:pPr>
    </w:p>
    <w:p w:rsidR="0076002F" w:rsidRPr="009F2510" w:rsidRDefault="0076002F" w:rsidP="0076002F">
      <w:pPr>
        <w:jc w:val="both"/>
        <w:outlineLvl w:val="0"/>
        <w:rPr>
          <w:rFonts w:ascii="Arial" w:hAnsi="Arial" w:cs="Arial"/>
          <w:sz w:val="20"/>
        </w:rPr>
      </w:pPr>
      <w:r w:rsidRPr="0076002F">
        <w:rPr>
          <w:rFonts w:ascii="Arial" w:hAnsi="Arial" w:cs="Arial"/>
          <w:b/>
          <w:sz w:val="20"/>
        </w:rPr>
        <w:t xml:space="preserve">Subcuenta 005 – Total posiciones operaciones cruzadas por cuenta de terceros: </w:t>
      </w:r>
      <w:r w:rsidRPr="0076002F">
        <w:rPr>
          <w:rFonts w:ascii="Arial" w:hAnsi="Arial" w:cs="Arial"/>
          <w:sz w:val="20"/>
        </w:rPr>
        <w:t xml:space="preserve">Se debe reportar la sumatoria del </w:t>
      </w:r>
      <w:r w:rsidR="00D1540A">
        <w:rPr>
          <w:rFonts w:ascii="Arial" w:hAnsi="Arial" w:cs="Arial"/>
          <w:sz w:val="20"/>
        </w:rPr>
        <w:t xml:space="preserve">menor </w:t>
      </w:r>
      <w:r w:rsidRPr="0076002F">
        <w:rPr>
          <w:rFonts w:ascii="Arial" w:hAnsi="Arial" w:cs="Arial"/>
          <w:sz w:val="20"/>
        </w:rPr>
        <w:t xml:space="preserve">valor entre el valor a precios de mercado del activo y el valor del compromiso para cada una de las operaciones cruzadas, incluyendo </w:t>
      </w:r>
      <w:r w:rsidRPr="009F2510">
        <w:rPr>
          <w:rFonts w:ascii="Arial" w:hAnsi="Arial" w:cs="Arial"/>
          <w:sz w:val="20"/>
        </w:rPr>
        <w:t>operaciones de contado, repos, simultáneas y transferencias temporales de valores, vigentes para las bandas correspondientes</w:t>
      </w:r>
      <w:r w:rsidR="009F2510" w:rsidRPr="009F2510">
        <w:rPr>
          <w:rFonts w:ascii="Arial" w:hAnsi="Arial" w:cs="Arial"/>
          <w:sz w:val="20"/>
        </w:rPr>
        <w:t>; excepto aquéllas que sean compensadas y liquidadas a través de una cámara de riesgo central de contraparte</w:t>
      </w:r>
      <w:r w:rsidRPr="009F2510">
        <w:rPr>
          <w:rFonts w:ascii="Arial" w:hAnsi="Arial" w:cs="Arial"/>
          <w:sz w:val="20"/>
        </w:rPr>
        <w:t>.</w:t>
      </w:r>
    </w:p>
    <w:p w:rsidR="0076002F" w:rsidRPr="009F2510" w:rsidRDefault="0076002F" w:rsidP="0076002F">
      <w:pPr>
        <w:jc w:val="both"/>
        <w:rPr>
          <w:rFonts w:ascii="Arial" w:hAnsi="Arial" w:cs="Arial"/>
          <w:sz w:val="20"/>
        </w:rPr>
      </w:pPr>
    </w:p>
    <w:p w:rsidR="0076002F" w:rsidRPr="009F2510" w:rsidRDefault="0076002F" w:rsidP="0076002F">
      <w:pPr>
        <w:jc w:val="both"/>
        <w:outlineLvl w:val="0"/>
        <w:rPr>
          <w:rFonts w:ascii="Arial" w:hAnsi="Arial" w:cs="Arial"/>
          <w:b/>
          <w:spacing w:val="0"/>
          <w:sz w:val="20"/>
        </w:rPr>
      </w:pPr>
      <w:r w:rsidRPr="009F2510">
        <w:rPr>
          <w:rFonts w:ascii="Arial" w:hAnsi="Arial" w:cs="Arial"/>
          <w:b/>
          <w:spacing w:val="0"/>
          <w:sz w:val="20"/>
        </w:rPr>
        <w:t xml:space="preserve">UNIDAD DE CAPTURA 06 – MEDICIÓN DE </w:t>
      </w:r>
      <w:r w:rsidR="00F30C49" w:rsidRPr="009F2510">
        <w:rPr>
          <w:rFonts w:ascii="Arial" w:hAnsi="Arial" w:cs="Arial"/>
          <w:b/>
          <w:spacing w:val="0"/>
          <w:sz w:val="20"/>
        </w:rPr>
        <w:t xml:space="preserve">LAS </w:t>
      </w:r>
      <w:r w:rsidRPr="009F2510">
        <w:rPr>
          <w:rFonts w:ascii="Arial" w:hAnsi="Arial" w:cs="Arial"/>
          <w:b/>
          <w:spacing w:val="0"/>
          <w:sz w:val="20"/>
        </w:rPr>
        <w:t>POSICIONES EN LAS OPERACIONES CONVENIDAS POR CUENTA DE TERCEROS:</w:t>
      </w:r>
    </w:p>
    <w:p w:rsidR="0076002F" w:rsidRPr="009F2510" w:rsidRDefault="0076002F" w:rsidP="0076002F">
      <w:pPr>
        <w:jc w:val="both"/>
        <w:rPr>
          <w:rFonts w:ascii="Arial" w:hAnsi="Arial" w:cs="Arial"/>
          <w:sz w:val="20"/>
        </w:rPr>
      </w:pPr>
    </w:p>
    <w:p w:rsidR="0076002F" w:rsidRPr="009F2510" w:rsidRDefault="0076002F" w:rsidP="0076002F">
      <w:pPr>
        <w:jc w:val="both"/>
        <w:outlineLvl w:val="0"/>
        <w:rPr>
          <w:rFonts w:ascii="Arial" w:hAnsi="Arial" w:cs="Arial"/>
          <w:sz w:val="20"/>
        </w:rPr>
      </w:pPr>
      <w:r w:rsidRPr="009F2510">
        <w:rPr>
          <w:rFonts w:ascii="Arial" w:hAnsi="Arial" w:cs="Arial"/>
          <w:b/>
          <w:sz w:val="20"/>
        </w:rPr>
        <w:t xml:space="preserve">Subcuenta 005 – Posiciones de compra de operaciones convenidas por cuenta de terceros: </w:t>
      </w:r>
      <w:r w:rsidRPr="009F2510">
        <w:rPr>
          <w:rFonts w:ascii="Arial" w:hAnsi="Arial" w:cs="Arial"/>
          <w:sz w:val="20"/>
        </w:rPr>
        <w:t>Se debe reportar el valor de cumplimiento de las operaciones convenidas de compra por cuenta de terceros vigentes para las bandas correspondientes</w:t>
      </w:r>
      <w:r w:rsidR="009F2510" w:rsidRPr="009F2510">
        <w:rPr>
          <w:rFonts w:ascii="Arial" w:hAnsi="Arial" w:cs="Arial"/>
          <w:sz w:val="20"/>
        </w:rPr>
        <w:t>; excepto el de aquéllas operaciones que sean compensadas y liquidadas a través de una cámara de riesgo central de contraparte.</w:t>
      </w:r>
      <w:r w:rsidRPr="009F2510">
        <w:rPr>
          <w:rFonts w:ascii="Arial" w:hAnsi="Arial" w:cs="Arial"/>
          <w:sz w:val="20"/>
        </w:rPr>
        <w:t xml:space="preserve"> Este valor debe ser siempre positivo.</w:t>
      </w:r>
    </w:p>
    <w:p w:rsidR="0076002F" w:rsidRPr="009F2510" w:rsidRDefault="0076002F" w:rsidP="0076002F">
      <w:pPr>
        <w:jc w:val="both"/>
        <w:outlineLvl w:val="0"/>
        <w:rPr>
          <w:rFonts w:ascii="Arial" w:hAnsi="Arial" w:cs="Arial"/>
          <w:b/>
          <w:sz w:val="20"/>
        </w:rPr>
      </w:pPr>
    </w:p>
    <w:p w:rsidR="0076002F" w:rsidRPr="0076002F" w:rsidRDefault="0076002F" w:rsidP="0076002F">
      <w:pPr>
        <w:jc w:val="both"/>
        <w:outlineLvl w:val="0"/>
        <w:rPr>
          <w:rFonts w:ascii="Arial" w:hAnsi="Arial" w:cs="Arial"/>
          <w:sz w:val="20"/>
        </w:rPr>
      </w:pPr>
      <w:r w:rsidRPr="009F2510">
        <w:rPr>
          <w:rFonts w:ascii="Arial" w:hAnsi="Arial" w:cs="Arial"/>
          <w:b/>
          <w:sz w:val="20"/>
        </w:rPr>
        <w:t xml:space="preserve">Subcuenta 010 – Posiciones de venta de operaciones convenidas por cuenta de terceros: </w:t>
      </w:r>
      <w:r w:rsidRPr="009F2510">
        <w:rPr>
          <w:rFonts w:ascii="Arial" w:hAnsi="Arial" w:cs="Arial"/>
          <w:sz w:val="20"/>
        </w:rPr>
        <w:t>Se debe reportar el valor de cumplimiento de las operaciones convenidas de venta por cuenta de terceros vigentes para las bandas correspondientes</w:t>
      </w:r>
      <w:r w:rsidR="009F2510" w:rsidRPr="009F2510">
        <w:rPr>
          <w:rFonts w:ascii="Arial" w:hAnsi="Arial" w:cs="Arial"/>
          <w:sz w:val="20"/>
        </w:rPr>
        <w:t>; excepto el de aquéllas operaciones que sean compensadas y liquidadas a través de una cámara de riesgo central de contraparte.</w:t>
      </w:r>
      <w:r w:rsidRPr="009F2510">
        <w:rPr>
          <w:rFonts w:ascii="Arial" w:hAnsi="Arial" w:cs="Arial"/>
          <w:sz w:val="20"/>
        </w:rPr>
        <w:t xml:space="preserve"> Este valor debe ser siempre positivo.</w:t>
      </w:r>
    </w:p>
    <w:p w:rsidR="0076002F" w:rsidRPr="0076002F" w:rsidRDefault="0076002F" w:rsidP="0076002F">
      <w:pPr>
        <w:jc w:val="both"/>
        <w:outlineLvl w:val="0"/>
        <w:rPr>
          <w:rFonts w:ascii="Arial" w:hAnsi="Arial" w:cs="Arial"/>
          <w:b/>
          <w:sz w:val="20"/>
        </w:rPr>
      </w:pPr>
    </w:p>
    <w:p w:rsidR="0076002F" w:rsidRPr="0076002F" w:rsidRDefault="0076002F" w:rsidP="0076002F">
      <w:pPr>
        <w:jc w:val="both"/>
        <w:outlineLvl w:val="0"/>
        <w:rPr>
          <w:rFonts w:ascii="Arial" w:hAnsi="Arial" w:cs="Arial"/>
          <w:sz w:val="20"/>
        </w:rPr>
      </w:pPr>
      <w:r w:rsidRPr="0076002F">
        <w:rPr>
          <w:rFonts w:ascii="Arial" w:hAnsi="Arial" w:cs="Arial"/>
          <w:b/>
          <w:sz w:val="20"/>
        </w:rPr>
        <w:t xml:space="preserve">Subcuenta 999 – Total operaciones convenidas por cuenta de terceros: </w:t>
      </w:r>
      <w:r w:rsidRPr="0076002F">
        <w:rPr>
          <w:rFonts w:ascii="Arial" w:hAnsi="Arial" w:cs="Arial"/>
          <w:sz w:val="20"/>
        </w:rPr>
        <w:t>Se debe registrar la sumatoria de las subcuentas 005 y 010.</w:t>
      </w:r>
    </w:p>
    <w:p w:rsidR="0076002F" w:rsidRPr="0076002F" w:rsidRDefault="0076002F" w:rsidP="0076002F">
      <w:pPr>
        <w:jc w:val="both"/>
        <w:outlineLvl w:val="0"/>
        <w:rPr>
          <w:rFonts w:ascii="Arial" w:hAnsi="Arial" w:cs="Arial"/>
          <w:sz w:val="20"/>
        </w:rPr>
      </w:pPr>
    </w:p>
    <w:p w:rsidR="0076002F" w:rsidRPr="0076002F" w:rsidRDefault="0076002F" w:rsidP="0076002F">
      <w:pPr>
        <w:jc w:val="both"/>
        <w:outlineLvl w:val="0"/>
        <w:rPr>
          <w:rFonts w:ascii="Arial" w:hAnsi="Arial" w:cs="Arial"/>
          <w:b/>
          <w:spacing w:val="0"/>
          <w:sz w:val="20"/>
        </w:rPr>
      </w:pPr>
      <w:r w:rsidRPr="0076002F">
        <w:rPr>
          <w:rFonts w:ascii="Arial" w:hAnsi="Arial" w:cs="Arial"/>
          <w:b/>
          <w:spacing w:val="0"/>
          <w:sz w:val="20"/>
        </w:rPr>
        <w:t>UNIDAD DE CAPTURA 07 – MEDICION DEL REQUERIMIENTO DE LIQUIDEZ NETO POR CUENTA DE TERCEROS:</w:t>
      </w:r>
    </w:p>
    <w:p w:rsidR="0076002F" w:rsidRPr="0076002F" w:rsidRDefault="0076002F" w:rsidP="0076002F">
      <w:pPr>
        <w:jc w:val="both"/>
        <w:outlineLvl w:val="0"/>
        <w:rPr>
          <w:rFonts w:ascii="Arial" w:hAnsi="Arial" w:cs="Arial"/>
          <w:b/>
          <w:spacing w:val="0"/>
          <w:sz w:val="20"/>
        </w:rPr>
      </w:pPr>
    </w:p>
    <w:p w:rsidR="0076002F" w:rsidRPr="0076002F" w:rsidRDefault="0076002F" w:rsidP="0076002F">
      <w:pPr>
        <w:tabs>
          <w:tab w:val="left" w:pos="945"/>
        </w:tabs>
        <w:jc w:val="both"/>
        <w:outlineLvl w:val="0"/>
        <w:rPr>
          <w:rFonts w:ascii="Arial" w:hAnsi="Arial" w:cs="Arial"/>
          <w:sz w:val="20"/>
        </w:rPr>
      </w:pPr>
      <w:r w:rsidRPr="0076002F">
        <w:rPr>
          <w:rFonts w:ascii="Arial" w:hAnsi="Arial" w:cs="Arial"/>
          <w:b/>
          <w:sz w:val="20"/>
        </w:rPr>
        <w:t>Subcuenta 005 – Requerimiento de Liquidez Neto por Cuenta de Terceros (RLN</w:t>
      </w:r>
      <w:r w:rsidR="007C0870">
        <w:rPr>
          <w:rFonts w:ascii="Arial" w:hAnsi="Arial" w:cs="Arial"/>
          <w:b/>
          <w:sz w:val="20"/>
          <w:vertAlign w:val="subscript"/>
        </w:rPr>
        <w:t>CT</w:t>
      </w:r>
      <w:r w:rsidRPr="0076002F">
        <w:rPr>
          <w:rFonts w:ascii="Arial" w:hAnsi="Arial" w:cs="Arial"/>
          <w:b/>
          <w:sz w:val="20"/>
        </w:rPr>
        <w:t xml:space="preserve">): </w:t>
      </w:r>
      <w:r w:rsidRPr="0076002F">
        <w:rPr>
          <w:rFonts w:ascii="Arial" w:hAnsi="Arial" w:cs="Arial"/>
          <w:sz w:val="20"/>
        </w:rPr>
        <w:t xml:space="preserve">Se debe reportar el </w:t>
      </w:r>
      <w:r w:rsidR="00CF0CF9">
        <w:rPr>
          <w:rFonts w:ascii="Arial" w:hAnsi="Arial" w:cs="Arial"/>
          <w:sz w:val="20"/>
        </w:rPr>
        <w:t>3.</w:t>
      </w:r>
      <w:r w:rsidRPr="0076002F">
        <w:rPr>
          <w:rFonts w:ascii="Arial" w:hAnsi="Arial" w:cs="Arial"/>
          <w:sz w:val="20"/>
        </w:rPr>
        <w:t>5% de la sumatoria entre el total de las Operaciones Cruzadas por Cuenta de Terceros (subcuenta 005 de la Unidad de Captura 05) y el Total de Operaciones Convenidas por Cuenta de Terceros (subcuenta 999 de la Unidad de Captura 06).</w:t>
      </w:r>
    </w:p>
    <w:p w:rsidR="0076002F" w:rsidRPr="0076002F" w:rsidRDefault="0076002F" w:rsidP="0076002F">
      <w:pPr>
        <w:tabs>
          <w:tab w:val="left" w:pos="945"/>
        </w:tabs>
        <w:jc w:val="both"/>
        <w:outlineLvl w:val="0"/>
        <w:rPr>
          <w:rFonts w:ascii="Arial" w:hAnsi="Arial" w:cs="Arial"/>
          <w:sz w:val="20"/>
        </w:rPr>
      </w:pPr>
    </w:p>
    <w:p w:rsidR="0076002F" w:rsidRPr="0076002F" w:rsidRDefault="007C0870" w:rsidP="0076002F">
      <w:pPr>
        <w:tabs>
          <w:tab w:val="left" w:pos="945"/>
        </w:tabs>
        <w:jc w:val="center"/>
        <w:outlineLvl w:val="0"/>
        <w:rPr>
          <w:rFonts w:ascii="Arial" w:hAnsi="Arial" w:cs="Arial"/>
          <w:sz w:val="20"/>
        </w:rPr>
      </w:pPr>
      <w:r w:rsidRPr="007C0870">
        <w:rPr>
          <w:rFonts w:ascii="Arial" w:hAnsi="Arial" w:cs="Arial"/>
          <w:position w:val="-12"/>
          <w:sz w:val="20"/>
        </w:rPr>
        <w:object w:dxaOrig="3660" w:dyaOrig="360">
          <v:shape id="_x0000_i1027" type="#_x0000_t75" style="width:183pt;height:17.25pt" o:ole="">
            <v:imagedata r:id="rId13" o:title=""/>
          </v:shape>
          <o:OLEObject Type="Embed" ProgID="Equation.3" ShapeID="_x0000_i1027" DrawAspect="Content" ObjectID="_1459763477" r:id="rId14"/>
        </w:object>
      </w:r>
    </w:p>
    <w:p w:rsidR="0076002F" w:rsidRPr="0076002F" w:rsidRDefault="0076002F" w:rsidP="0076002F">
      <w:pPr>
        <w:jc w:val="both"/>
        <w:outlineLvl w:val="0"/>
        <w:rPr>
          <w:rFonts w:ascii="Arial" w:hAnsi="Arial" w:cs="Arial"/>
          <w:sz w:val="20"/>
        </w:rPr>
      </w:pPr>
    </w:p>
    <w:p w:rsidR="0076002F" w:rsidRPr="0076002F" w:rsidRDefault="0076002F" w:rsidP="0076002F">
      <w:pPr>
        <w:jc w:val="both"/>
        <w:outlineLvl w:val="0"/>
        <w:rPr>
          <w:rFonts w:ascii="Arial" w:hAnsi="Arial" w:cs="Arial"/>
          <w:b/>
          <w:spacing w:val="0"/>
          <w:sz w:val="20"/>
        </w:rPr>
      </w:pPr>
      <w:r w:rsidRPr="0076002F">
        <w:rPr>
          <w:rFonts w:ascii="Arial" w:hAnsi="Arial" w:cs="Arial"/>
          <w:b/>
          <w:spacing w:val="0"/>
          <w:sz w:val="20"/>
        </w:rPr>
        <w:t>UNIDAD DE CAPTURA 08 – MEDICIÓN DEL INDICADOR DE RIESGO DE LIQUIDEZ - IRL:</w:t>
      </w:r>
    </w:p>
    <w:p w:rsidR="0076002F" w:rsidRPr="0076002F" w:rsidRDefault="0076002F" w:rsidP="0076002F">
      <w:pPr>
        <w:jc w:val="both"/>
        <w:rPr>
          <w:rFonts w:ascii="Arial" w:hAnsi="Arial" w:cs="Arial"/>
          <w:sz w:val="20"/>
        </w:rPr>
      </w:pPr>
    </w:p>
    <w:p w:rsidR="0076002F" w:rsidRPr="0076002F" w:rsidRDefault="0076002F" w:rsidP="0076002F">
      <w:pPr>
        <w:jc w:val="both"/>
        <w:rPr>
          <w:rFonts w:ascii="Arial" w:hAnsi="Arial" w:cs="Arial"/>
          <w:sz w:val="20"/>
        </w:rPr>
      </w:pPr>
      <w:r w:rsidRPr="0076002F">
        <w:rPr>
          <w:rFonts w:ascii="Arial" w:hAnsi="Arial" w:cs="Arial"/>
          <w:spacing w:val="0"/>
          <w:sz w:val="20"/>
        </w:rPr>
        <w:t>Sólo se deben diligenciar las columnas 1 y 2, en las columnas 3 y 4 no se debe reportar valor.</w:t>
      </w:r>
    </w:p>
    <w:p w:rsidR="0076002F" w:rsidRPr="0076002F" w:rsidRDefault="0076002F" w:rsidP="0076002F">
      <w:pPr>
        <w:jc w:val="both"/>
        <w:rPr>
          <w:rFonts w:ascii="Arial" w:hAnsi="Arial" w:cs="Arial"/>
          <w:sz w:val="20"/>
        </w:rPr>
      </w:pPr>
    </w:p>
    <w:p w:rsidR="0076002F" w:rsidRPr="0076002F" w:rsidRDefault="0076002F" w:rsidP="0076002F">
      <w:pPr>
        <w:jc w:val="both"/>
        <w:outlineLvl w:val="0"/>
        <w:rPr>
          <w:rFonts w:ascii="Arial" w:hAnsi="Arial" w:cs="Arial"/>
          <w:sz w:val="20"/>
        </w:rPr>
      </w:pPr>
      <w:r w:rsidRPr="0076002F">
        <w:rPr>
          <w:rFonts w:ascii="Arial" w:hAnsi="Arial" w:cs="Arial"/>
          <w:b/>
          <w:sz w:val="20"/>
        </w:rPr>
        <w:t xml:space="preserve">Subcuenta 005 – Indicador de Riesgo de Liquidez - Monto: </w:t>
      </w:r>
      <w:r w:rsidR="006A1DF9" w:rsidRPr="006A1DF9">
        <w:rPr>
          <w:rFonts w:ascii="Arial" w:hAnsi="Arial" w:cs="Arial"/>
          <w:sz w:val="20"/>
        </w:rPr>
        <w:t xml:space="preserve">En la columna </w:t>
      </w:r>
      <w:r w:rsidR="006A1DF9" w:rsidRPr="003C27AD">
        <w:rPr>
          <w:rFonts w:ascii="Arial" w:hAnsi="Arial" w:cs="Arial"/>
          <w:sz w:val="20"/>
        </w:rPr>
        <w:t>1 s</w:t>
      </w:r>
      <w:r w:rsidRPr="003C27AD">
        <w:rPr>
          <w:rFonts w:ascii="Arial" w:hAnsi="Arial" w:cs="Arial"/>
          <w:sz w:val="20"/>
        </w:rPr>
        <w:t>e debe</w:t>
      </w:r>
      <w:r w:rsidRPr="0076002F">
        <w:rPr>
          <w:rFonts w:ascii="Arial" w:hAnsi="Arial" w:cs="Arial"/>
          <w:sz w:val="20"/>
        </w:rPr>
        <w:t xml:space="preserve"> reportar el valor del IRL monto</w:t>
      </w:r>
      <w:r w:rsidR="003C27AD">
        <w:rPr>
          <w:rFonts w:ascii="Arial" w:hAnsi="Arial" w:cs="Arial"/>
          <w:sz w:val="20"/>
        </w:rPr>
        <w:t xml:space="preserve"> a un día</w:t>
      </w:r>
      <w:r w:rsidRPr="0076002F">
        <w:rPr>
          <w:rFonts w:ascii="Arial" w:hAnsi="Arial" w:cs="Arial"/>
          <w:sz w:val="20"/>
        </w:rPr>
        <w:t>, calculado como la diferencia entre los Activos Líquidos Ajustados (ALA)</w:t>
      </w:r>
      <w:r w:rsidR="00AB64FA">
        <w:rPr>
          <w:rFonts w:ascii="Arial" w:hAnsi="Arial" w:cs="Arial"/>
          <w:sz w:val="20"/>
        </w:rPr>
        <w:t xml:space="preserve"> (Subcuenta 998 de la Unidad de Captura 01) </w:t>
      </w:r>
      <w:r w:rsidRPr="0076002F">
        <w:rPr>
          <w:rFonts w:ascii="Arial" w:hAnsi="Arial" w:cs="Arial"/>
          <w:sz w:val="20"/>
        </w:rPr>
        <w:t>y la sumatoria del Requerimiento de Liquidez Neto por Cuenta Propia (subcuenta 005 de la Unidad de Captura 04) y el Requerimiento de Liquidez Neto por Cuenta de Terceros (subcuenta 005 de la Unidad de Captura 07), para</w:t>
      </w:r>
      <w:r w:rsidR="003C27AD">
        <w:rPr>
          <w:rFonts w:ascii="Arial" w:hAnsi="Arial" w:cs="Arial"/>
          <w:sz w:val="20"/>
        </w:rPr>
        <w:t xml:space="preserve"> la banda 1</w:t>
      </w:r>
      <w:r w:rsidRPr="0076002F">
        <w:rPr>
          <w:rFonts w:ascii="Arial" w:hAnsi="Arial" w:cs="Arial"/>
          <w:sz w:val="20"/>
        </w:rPr>
        <w:t>.</w:t>
      </w:r>
    </w:p>
    <w:p w:rsidR="0076002F" w:rsidRPr="0076002F" w:rsidRDefault="0076002F" w:rsidP="0076002F">
      <w:pPr>
        <w:jc w:val="both"/>
        <w:outlineLvl w:val="0"/>
        <w:rPr>
          <w:rFonts w:ascii="Arial" w:hAnsi="Arial" w:cs="Arial"/>
          <w:sz w:val="20"/>
        </w:rPr>
      </w:pPr>
    </w:p>
    <w:p w:rsidR="00A60FDA" w:rsidRDefault="0076002F" w:rsidP="00A60FDA">
      <w:pPr>
        <w:jc w:val="both"/>
        <w:outlineLvl w:val="0"/>
        <w:rPr>
          <w:rFonts w:ascii="Arial" w:hAnsi="Arial" w:cs="Arial"/>
          <w:sz w:val="20"/>
        </w:rPr>
      </w:pPr>
      <w:r w:rsidRPr="0076002F">
        <w:rPr>
          <w:rFonts w:ascii="Arial" w:hAnsi="Arial" w:cs="Arial"/>
          <w:sz w:val="20"/>
        </w:rPr>
        <w:t>En la columna 2 se deberá reportar el IRL</w:t>
      </w:r>
      <w:r w:rsidR="00DF23C1">
        <w:rPr>
          <w:rFonts w:ascii="Arial" w:hAnsi="Arial" w:cs="Arial"/>
          <w:sz w:val="20"/>
        </w:rPr>
        <w:t xml:space="preserve"> monto</w:t>
      </w:r>
      <w:r w:rsidRPr="0076002F">
        <w:rPr>
          <w:rFonts w:ascii="Arial" w:hAnsi="Arial" w:cs="Arial"/>
          <w:sz w:val="20"/>
        </w:rPr>
        <w:t xml:space="preserve"> </w:t>
      </w:r>
      <w:r w:rsidR="00DF23C1">
        <w:rPr>
          <w:rFonts w:ascii="Arial" w:hAnsi="Arial" w:cs="Arial"/>
          <w:sz w:val="20"/>
        </w:rPr>
        <w:t>de 1 a 7 días, p</w:t>
      </w:r>
      <w:r w:rsidRPr="0076002F">
        <w:rPr>
          <w:rFonts w:ascii="Arial" w:hAnsi="Arial" w:cs="Arial"/>
          <w:sz w:val="20"/>
        </w:rPr>
        <w:t>ara este propósito se deberán contemplar e</w:t>
      </w:r>
      <w:r w:rsidR="00DF23C1">
        <w:rPr>
          <w:rFonts w:ascii="Arial" w:hAnsi="Arial" w:cs="Arial"/>
          <w:sz w:val="20"/>
        </w:rPr>
        <w:t>n el cálculo de dicho indicador</w:t>
      </w:r>
      <w:r w:rsidRPr="0076002F">
        <w:rPr>
          <w:rFonts w:ascii="Arial" w:hAnsi="Arial" w:cs="Arial"/>
          <w:sz w:val="20"/>
        </w:rPr>
        <w:t xml:space="preserve"> los Requerimientos de Liquidez Netos por Cuenta Propia y por Cuenta de Terceros reportados para las bandas 1 y 2.</w:t>
      </w:r>
    </w:p>
    <w:p w:rsidR="00A60FDA" w:rsidRDefault="00A60FDA" w:rsidP="00A60FDA">
      <w:pPr>
        <w:jc w:val="both"/>
        <w:outlineLvl w:val="0"/>
        <w:rPr>
          <w:rFonts w:ascii="Arial" w:hAnsi="Arial" w:cs="Arial"/>
          <w:sz w:val="20"/>
        </w:rPr>
      </w:pPr>
    </w:p>
    <w:p w:rsidR="0076002F" w:rsidRPr="0076002F" w:rsidRDefault="007C0870" w:rsidP="00A60FDA">
      <w:pPr>
        <w:ind w:left="1416" w:firstLine="708"/>
        <w:jc w:val="both"/>
        <w:outlineLvl w:val="0"/>
        <w:rPr>
          <w:rFonts w:ascii="Arial" w:hAnsi="Arial" w:cs="Arial"/>
          <w:sz w:val="20"/>
        </w:rPr>
      </w:pPr>
      <w:r w:rsidRPr="0076002F">
        <w:rPr>
          <w:rFonts w:ascii="Arial" w:hAnsi="Arial" w:cs="Arial"/>
          <w:position w:val="-12"/>
          <w:sz w:val="20"/>
        </w:rPr>
        <w:object w:dxaOrig="3240" w:dyaOrig="380">
          <v:shape id="_x0000_i1028" type="#_x0000_t75" style="width:162.75pt;height:19.5pt" o:ole="">
            <v:imagedata r:id="rId15" o:title=""/>
          </v:shape>
          <o:OLEObject Type="Embed" ProgID="Equation.3" ShapeID="_x0000_i1028" DrawAspect="Content" ObjectID="_1459763478" r:id="rId16"/>
        </w:object>
      </w:r>
    </w:p>
    <w:p w:rsidR="0076002F" w:rsidRPr="0076002F" w:rsidRDefault="0076002F" w:rsidP="0076002F">
      <w:pPr>
        <w:jc w:val="center"/>
        <w:outlineLvl w:val="0"/>
        <w:rPr>
          <w:rFonts w:ascii="Arial" w:hAnsi="Arial" w:cs="Arial"/>
          <w:sz w:val="20"/>
        </w:rPr>
      </w:pPr>
    </w:p>
    <w:p w:rsidR="0076002F" w:rsidRPr="0076002F" w:rsidRDefault="007C0870" w:rsidP="0076002F">
      <w:pPr>
        <w:jc w:val="center"/>
        <w:outlineLvl w:val="0"/>
        <w:rPr>
          <w:rFonts w:ascii="Arial" w:hAnsi="Arial" w:cs="Arial"/>
          <w:sz w:val="20"/>
        </w:rPr>
      </w:pPr>
      <w:r w:rsidRPr="0076002F">
        <w:rPr>
          <w:rFonts w:ascii="Arial" w:hAnsi="Arial" w:cs="Arial"/>
          <w:position w:val="-12"/>
          <w:sz w:val="20"/>
        </w:rPr>
        <w:object w:dxaOrig="5200" w:dyaOrig="380">
          <v:shape id="_x0000_i1029" type="#_x0000_t75" style="width:260.25pt;height:19.5pt" o:ole="">
            <v:imagedata r:id="rId17" o:title=""/>
          </v:shape>
          <o:OLEObject Type="Embed" ProgID="Equation.3" ShapeID="_x0000_i1029" DrawAspect="Content" ObjectID="_1459763479" r:id="rId18"/>
        </w:object>
      </w:r>
    </w:p>
    <w:p w:rsidR="0076002F" w:rsidRPr="0076002F" w:rsidRDefault="0076002F" w:rsidP="0076002F">
      <w:pPr>
        <w:jc w:val="both"/>
        <w:outlineLvl w:val="0"/>
        <w:rPr>
          <w:rFonts w:ascii="Arial" w:hAnsi="Arial" w:cs="Arial"/>
          <w:b/>
          <w:sz w:val="20"/>
        </w:rPr>
      </w:pPr>
    </w:p>
    <w:p w:rsidR="0076002F" w:rsidRPr="0076002F" w:rsidRDefault="0076002F" w:rsidP="0076002F">
      <w:pPr>
        <w:jc w:val="both"/>
        <w:outlineLvl w:val="0"/>
        <w:rPr>
          <w:rFonts w:ascii="Arial" w:hAnsi="Arial" w:cs="Arial"/>
          <w:sz w:val="20"/>
        </w:rPr>
      </w:pPr>
      <w:r w:rsidRPr="0076002F">
        <w:rPr>
          <w:rFonts w:ascii="Arial" w:hAnsi="Arial" w:cs="Arial"/>
          <w:b/>
          <w:sz w:val="20"/>
        </w:rPr>
        <w:t xml:space="preserve">Subcuenta 010 – Indicador de Riesgo de Liquidez - Razón: </w:t>
      </w:r>
      <w:r w:rsidR="006A1DF9" w:rsidRPr="006A1DF9">
        <w:rPr>
          <w:rFonts w:ascii="Arial" w:hAnsi="Arial" w:cs="Arial"/>
          <w:sz w:val="20"/>
        </w:rPr>
        <w:t xml:space="preserve">En la columna </w:t>
      </w:r>
      <w:r w:rsidR="0054557F">
        <w:rPr>
          <w:rFonts w:ascii="Arial" w:hAnsi="Arial" w:cs="Arial"/>
          <w:sz w:val="20"/>
        </w:rPr>
        <w:t xml:space="preserve">1 </w:t>
      </w:r>
      <w:r w:rsidR="006A1DF9" w:rsidRPr="006A1DF9">
        <w:rPr>
          <w:rFonts w:ascii="Arial" w:hAnsi="Arial" w:cs="Arial"/>
          <w:sz w:val="20"/>
        </w:rPr>
        <w:t>s</w:t>
      </w:r>
      <w:r w:rsidRPr="006A1DF9">
        <w:rPr>
          <w:rFonts w:ascii="Arial" w:hAnsi="Arial" w:cs="Arial"/>
          <w:sz w:val="20"/>
        </w:rPr>
        <w:t>e debe</w:t>
      </w:r>
      <w:r w:rsidR="00A619BF">
        <w:rPr>
          <w:rFonts w:ascii="Arial" w:hAnsi="Arial" w:cs="Arial"/>
          <w:sz w:val="20"/>
        </w:rPr>
        <w:t xml:space="preserve"> reportar el valor del IRL</w:t>
      </w:r>
      <w:r w:rsidR="003C27AD">
        <w:rPr>
          <w:rFonts w:ascii="Arial" w:hAnsi="Arial" w:cs="Arial"/>
          <w:sz w:val="20"/>
        </w:rPr>
        <w:t xml:space="preserve"> razón a un día</w:t>
      </w:r>
      <w:r w:rsidRPr="0076002F">
        <w:rPr>
          <w:rFonts w:ascii="Arial" w:hAnsi="Arial" w:cs="Arial"/>
          <w:sz w:val="20"/>
        </w:rPr>
        <w:t xml:space="preserve">, calculado como la razón entre los Activos Líquidos Ajustados (ALA) </w:t>
      </w:r>
      <w:r w:rsidR="00AB64FA">
        <w:rPr>
          <w:rFonts w:ascii="Arial" w:hAnsi="Arial" w:cs="Arial"/>
          <w:sz w:val="20"/>
        </w:rPr>
        <w:t xml:space="preserve">(Subcuenta 998 de la Unidad de Captura 01) </w:t>
      </w:r>
      <w:r w:rsidRPr="0076002F">
        <w:rPr>
          <w:rFonts w:ascii="Arial" w:hAnsi="Arial" w:cs="Arial"/>
          <w:sz w:val="20"/>
        </w:rPr>
        <w:t>y la sumatoria del Requerimiento de Liquidez Neto por Cuenta Propia (subcuenta 005 de la Unidad de Captura 04) y el Requerimiento de Liquidez Neto por Cuenta de Terceros (subcuenta 005 de la Unidad de Captura 07), para la banda</w:t>
      </w:r>
      <w:r w:rsidR="0054557F">
        <w:rPr>
          <w:rFonts w:ascii="Arial" w:hAnsi="Arial" w:cs="Arial"/>
          <w:sz w:val="20"/>
        </w:rPr>
        <w:t xml:space="preserve"> 1</w:t>
      </w:r>
      <w:r w:rsidRPr="0076002F">
        <w:rPr>
          <w:rFonts w:ascii="Arial" w:hAnsi="Arial" w:cs="Arial"/>
          <w:sz w:val="20"/>
        </w:rPr>
        <w:t>.</w:t>
      </w:r>
    </w:p>
    <w:p w:rsidR="0076002F" w:rsidRPr="0076002F" w:rsidRDefault="0076002F" w:rsidP="0076002F">
      <w:pPr>
        <w:jc w:val="both"/>
        <w:outlineLvl w:val="0"/>
        <w:rPr>
          <w:rFonts w:ascii="Arial" w:hAnsi="Arial" w:cs="Arial"/>
          <w:sz w:val="20"/>
        </w:rPr>
      </w:pPr>
    </w:p>
    <w:p w:rsidR="00DF23C1" w:rsidRDefault="0076002F" w:rsidP="0076002F">
      <w:pPr>
        <w:jc w:val="both"/>
        <w:outlineLvl w:val="0"/>
        <w:rPr>
          <w:rFonts w:ascii="Arial" w:hAnsi="Arial" w:cs="Arial"/>
          <w:sz w:val="20"/>
        </w:rPr>
      </w:pPr>
      <w:r w:rsidRPr="0076002F">
        <w:rPr>
          <w:rFonts w:ascii="Arial" w:hAnsi="Arial" w:cs="Arial"/>
          <w:sz w:val="20"/>
        </w:rPr>
        <w:t>En la columna 2 se deberá reportar el IRL</w:t>
      </w:r>
      <w:r w:rsidR="00DF23C1">
        <w:rPr>
          <w:rFonts w:ascii="Arial" w:hAnsi="Arial" w:cs="Arial"/>
          <w:sz w:val="20"/>
        </w:rPr>
        <w:t xml:space="preserve"> </w:t>
      </w:r>
      <w:r w:rsidR="00DA7E57">
        <w:rPr>
          <w:rFonts w:ascii="Arial" w:hAnsi="Arial" w:cs="Arial"/>
          <w:sz w:val="20"/>
        </w:rPr>
        <w:t>razón</w:t>
      </w:r>
      <w:r w:rsidRPr="0076002F">
        <w:rPr>
          <w:rFonts w:ascii="Arial" w:hAnsi="Arial" w:cs="Arial"/>
          <w:sz w:val="20"/>
        </w:rPr>
        <w:t xml:space="preserve"> </w:t>
      </w:r>
      <w:r w:rsidR="00A619BF">
        <w:rPr>
          <w:rFonts w:ascii="Arial" w:hAnsi="Arial" w:cs="Arial"/>
          <w:sz w:val="20"/>
        </w:rPr>
        <w:t>de 1 a 7 días, p</w:t>
      </w:r>
      <w:r w:rsidRPr="0076002F">
        <w:rPr>
          <w:rFonts w:ascii="Arial" w:hAnsi="Arial" w:cs="Arial"/>
          <w:sz w:val="20"/>
        </w:rPr>
        <w:t>ara este propósito se deberán contemplar en el cálculo de dicho indicador, los Requerimientos de Liquidez Netos por Cuenta Propia y por Cuenta de Terceros reportados para las bandas 1 y 2.</w:t>
      </w:r>
      <w:r w:rsidR="00A10323">
        <w:rPr>
          <w:rFonts w:ascii="Arial" w:hAnsi="Arial" w:cs="Arial"/>
          <w:sz w:val="20"/>
        </w:rPr>
        <w:t xml:space="preserve"> </w:t>
      </w:r>
    </w:p>
    <w:p w:rsidR="00DF23C1" w:rsidRDefault="00DF23C1" w:rsidP="0076002F">
      <w:pPr>
        <w:jc w:val="both"/>
        <w:outlineLvl w:val="0"/>
        <w:rPr>
          <w:rFonts w:ascii="Arial" w:hAnsi="Arial" w:cs="Arial"/>
          <w:sz w:val="20"/>
        </w:rPr>
      </w:pPr>
    </w:p>
    <w:p w:rsidR="00026192" w:rsidRPr="00026192" w:rsidRDefault="00026192" w:rsidP="0076002F">
      <w:pPr>
        <w:jc w:val="both"/>
        <w:outlineLvl w:val="0"/>
        <w:rPr>
          <w:rFonts w:ascii="Arial" w:hAnsi="Arial" w:cs="Arial"/>
          <w:sz w:val="20"/>
        </w:rPr>
      </w:pPr>
      <w:r>
        <w:rPr>
          <w:rFonts w:ascii="Arial" w:hAnsi="Arial" w:cs="Arial"/>
          <w:sz w:val="20"/>
        </w:rPr>
        <w:t xml:space="preserve">Para los casos en los que el denominador sea igual a cero, es decir cuando no existan requerimientos de liquidez, el </w:t>
      </w:r>
      <w:proofErr w:type="spellStart"/>
      <w:r>
        <w:rPr>
          <w:rFonts w:ascii="Arial" w:hAnsi="Arial" w:cs="Arial"/>
          <w:sz w:val="20"/>
        </w:rPr>
        <w:t>IRL</w:t>
      </w:r>
      <w:r w:rsidRPr="00026192">
        <w:rPr>
          <w:rFonts w:ascii="Arial" w:hAnsi="Arial" w:cs="Arial"/>
          <w:sz w:val="20"/>
          <w:vertAlign w:val="subscript"/>
        </w:rPr>
        <w:t>r</w:t>
      </w:r>
      <w:proofErr w:type="spellEnd"/>
      <w:r>
        <w:rPr>
          <w:rFonts w:ascii="Arial" w:hAnsi="Arial" w:cs="Arial"/>
          <w:sz w:val="20"/>
        </w:rPr>
        <w:t xml:space="preserve">, </w:t>
      </w:r>
      <w:r w:rsidR="00B02014">
        <w:rPr>
          <w:rFonts w:ascii="Arial" w:hAnsi="Arial" w:cs="Arial"/>
          <w:sz w:val="20"/>
        </w:rPr>
        <w:t>será</w:t>
      </w:r>
      <w:r>
        <w:rPr>
          <w:rFonts w:ascii="Arial" w:hAnsi="Arial" w:cs="Arial"/>
          <w:sz w:val="20"/>
        </w:rPr>
        <w:t xml:space="preserve"> igual al numerador es decir al valor de los Activos Líquidos Ajustados.</w:t>
      </w:r>
    </w:p>
    <w:p w:rsidR="0076002F" w:rsidRPr="00026192" w:rsidRDefault="0076002F" w:rsidP="0076002F">
      <w:pPr>
        <w:jc w:val="both"/>
        <w:outlineLvl w:val="0"/>
        <w:rPr>
          <w:rFonts w:ascii="Arial" w:hAnsi="Arial" w:cs="Arial"/>
          <w:b/>
          <w:sz w:val="20"/>
        </w:rPr>
      </w:pPr>
    </w:p>
    <w:p w:rsidR="0076002F" w:rsidRPr="0076002F" w:rsidRDefault="007C0870" w:rsidP="0076002F">
      <w:pPr>
        <w:jc w:val="center"/>
        <w:outlineLvl w:val="0"/>
        <w:rPr>
          <w:rFonts w:ascii="Arial" w:hAnsi="Arial" w:cs="Arial"/>
          <w:sz w:val="20"/>
        </w:rPr>
      </w:pPr>
      <w:r w:rsidRPr="0076002F">
        <w:rPr>
          <w:rFonts w:ascii="Arial" w:hAnsi="Arial" w:cs="Arial"/>
          <w:position w:val="-30"/>
          <w:sz w:val="20"/>
        </w:rPr>
        <w:object w:dxaOrig="2560" w:dyaOrig="680">
          <v:shape id="_x0000_i1030" type="#_x0000_t75" style="width:129pt;height:34.5pt" o:ole="">
            <v:imagedata r:id="rId19" o:title=""/>
          </v:shape>
          <o:OLEObject Type="Embed" ProgID="Equation.3" ShapeID="_x0000_i1030" DrawAspect="Content" ObjectID="_1459763480" r:id="rId20"/>
        </w:object>
      </w:r>
    </w:p>
    <w:p w:rsidR="0076002F" w:rsidRPr="0076002F" w:rsidRDefault="0076002F" w:rsidP="0076002F">
      <w:pPr>
        <w:jc w:val="center"/>
        <w:outlineLvl w:val="0"/>
        <w:rPr>
          <w:rFonts w:ascii="Arial" w:hAnsi="Arial" w:cs="Arial"/>
          <w:sz w:val="20"/>
        </w:rPr>
      </w:pPr>
    </w:p>
    <w:p w:rsidR="00262F70" w:rsidRDefault="007C0870" w:rsidP="0076002F">
      <w:pPr>
        <w:jc w:val="center"/>
        <w:outlineLvl w:val="0"/>
        <w:rPr>
          <w:rFonts w:ascii="Arial" w:hAnsi="Arial" w:cs="Arial"/>
          <w:b/>
          <w:sz w:val="20"/>
        </w:rPr>
      </w:pPr>
      <w:r w:rsidRPr="0076002F">
        <w:rPr>
          <w:rFonts w:ascii="Arial" w:hAnsi="Arial" w:cs="Arial"/>
          <w:position w:val="-30"/>
          <w:sz w:val="20"/>
        </w:rPr>
        <w:object w:dxaOrig="4540" w:dyaOrig="680">
          <v:shape id="_x0000_i1031" type="#_x0000_t75" style="width:226.5pt;height:33.75pt" o:ole="">
            <v:imagedata r:id="rId21" o:title=""/>
          </v:shape>
          <o:OLEObject Type="Embed" ProgID="Equation.3" ShapeID="_x0000_i1031" DrawAspect="Content" ObjectID="_1459763481" r:id="rId22"/>
        </w:object>
      </w:r>
    </w:p>
    <w:p w:rsidR="00262F70" w:rsidRPr="00262F70" w:rsidRDefault="00262F70" w:rsidP="00262F70">
      <w:pPr>
        <w:rPr>
          <w:rFonts w:ascii="Arial" w:hAnsi="Arial" w:cs="Arial"/>
          <w:sz w:val="20"/>
        </w:rPr>
      </w:pPr>
    </w:p>
    <w:p w:rsidR="00262F70" w:rsidRPr="00262F70" w:rsidRDefault="00262F70" w:rsidP="00262F70">
      <w:pPr>
        <w:rPr>
          <w:rFonts w:ascii="Arial" w:hAnsi="Arial" w:cs="Arial"/>
          <w:sz w:val="20"/>
        </w:rPr>
      </w:pPr>
    </w:p>
    <w:p w:rsidR="00262F70" w:rsidRPr="00262F70" w:rsidRDefault="00262F70" w:rsidP="00262F70">
      <w:pPr>
        <w:rPr>
          <w:rFonts w:ascii="Arial" w:hAnsi="Arial" w:cs="Arial"/>
          <w:sz w:val="20"/>
        </w:rPr>
      </w:pPr>
    </w:p>
    <w:p w:rsidR="00262F70" w:rsidRPr="00262F70" w:rsidRDefault="00262F70" w:rsidP="00262F70">
      <w:pPr>
        <w:rPr>
          <w:rFonts w:ascii="Arial" w:hAnsi="Arial" w:cs="Arial"/>
          <w:sz w:val="20"/>
        </w:rPr>
      </w:pPr>
    </w:p>
    <w:p w:rsidR="00262F70" w:rsidRPr="00262F70" w:rsidRDefault="00262F70" w:rsidP="00262F70">
      <w:pPr>
        <w:rPr>
          <w:rFonts w:ascii="Arial" w:hAnsi="Arial" w:cs="Arial"/>
          <w:sz w:val="20"/>
        </w:rPr>
      </w:pPr>
    </w:p>
    <w:p w:rsidR="00262F70" w:rsidRPr="00262F70" w:rsidRDefault="00262F70" w:rsidP="00262F70">
      <w:pPr>
        <w:rPr>
          <w:rFonts w:ascii="Arial" w:hAnsi="Arial" w:cs="Arial"/>
          <w:sz w:val="20"/>
        </w:rPr>
      </w:pPr>
    </w:p>
    <w:p w:rsidR="00262F70" w:rsidRPr="00262F70" w:rsidRDefault="00262F70" w:rsidP="00262F70">
      <w:pPr>
        <w:rPr>
          <w:rFonts w:ascii="Arial" w:hAnsi="Arial" w:cs="Arial"/>
          <w:sz w:val="20"/>
        </w:rPr>
      </w:pPr>
    </w:p>
    <w:p w:rsidR="00262F70" w:rsidRPr="00262F70" w:rsidRDefault="00262F70" w:rsidP="00262F70">
      <w:pPr>
        <w:rPr>
          <w:rFonts w:ascii="Arial" w:hAnsi="Arial" w:cs="Arial"/>
          <w:sz w:val="20"/>
        </w:rPr>
      </w:pPr>
    </w:p>
    <w:p w:rsidR="00262F70" w:rsidRPr="00262F70" w:rsidRDefault="00262F70" w:rsidP="00262F70">
      <w:pPr>
        <w:rPr>
          <w:rFonts w:ascii="Arial" w:hAnsi="Arial" w:cs="Arial"/>
          <w:sz w:val="20"/>
        </w:rPr>
      </w:pPr>
    </w:p>
    <w:p w:rsidR="00262F70" w:rsidRPr="00262F70" w:rsidRDefault="00262F70" w:rsidP="00262F70">
      <w:pPr>
        <w:rPr>
          <w:rFonts w:ascii="Arial" w:hAnsi="Arial" w:cs="Arial"/>
          <w:sz w:val="20"/>
        </w:rPr>
      </w:pPr>
    </w:p>
    <w:p w:rsidR="00262F70" w:rsidRDefault="00262F70" w:rsidP="00262F70">
      <w:pPr>
        <w:rPr>
          <w:rFonts w:ascii="Arial" w:hAnsi="Arial" w:cs="Arial"/>
          <w:sz w:val="20"/>
        </w:rPr>
      </w:pPr>
    </w:p>
    <w:p w:rsidR="0076002F" w:rsidRPr="00262F70" w:rsidRDefault="00262F70" w:rsidP="00262F70">
      <w:pPr>
        <w:tabs>
          <w:tab w:val="left" w:pos="6810"/>
        </w:tabs>
        <w:rPr>
          <w:rFonts w:ascii="Arial" w:hAnsi="Arial" w:cs="Arial"/>
          <w:sz w:val="20"/>
        </w:rPr>
      </w:pPr>
      <w:r>
        <w:rPr>
          <w:rFonts w:ascii="Arial" w:hAnsi="Arial" w:cs="Arial"/>
          <w:sz w:val="20"/>
        </w:rPr>
        <w:tab/>
      </w:r>
    </w:p>
    <w:sectPr w:rsidR="0076002F" w:rsidRPr="00262F70" w:rsidSect="00104AC6">
      <w:headerReference w:type="default" r:id="rId23"/>
      <w:footerReference w:type="default" r:id="rId24"/>
      <w:pgSz w:w="12242" w:h="18722" w:code="14"/>
      <w:pgMar w:top="1134" w:right="1134" w:bottom="1701" w:left="1701" w:header="709" w:footer="567" w:gutter="0"/>
      <w:paperSrc w:first="3" w:other="3"/>
      <w:pgNumType w:start="228"/>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A92" w:rsidRDefault="00146A92">
      <w:r>
        <w:separator/>
      </w:r>
    </w:p>
  </w:endnote>
  <w:endnote w:type="continuationSeparator" w:id="0">
    <w:p w:rsidR="00146A92" w:rsidRDefault="00146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Cd (W1)">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192" w:rsidRPr="00BB4E22" w:rsidRDefault="00026192" w:rsidP="003C4B53">
    <w:pPr>
      <w:pStyle w:val="Piedepgina"/>
      <w:tabs>
        <w:tab w:val="clear" w:pos="8504"/>
        <w:tab w:val="right" w:pos="9356"/>
      </w:tabs>
      <w:rPr>
        <w:rFonts w:ascii="Arial" w:hAnsi="Arial"/>
        <w:b/>
        <w:sz w:val="18"/>
        <w:szCs w:val="18"/>
      </w:rPr>
    </w:pPr>
    <w:r w:rsidRPr="00BB4E22">
      <w:rPr>
        <w:rFonts w:ascii="Arial" w:hAnsi="Arial"/>
        <w:b/>
        <w:sz w:val="18"/>
        <w:szCs w:val="18"/>
      </w:rPr>
      <w:t xml:space="preserve">Circular Externa </w:t>
    </w:r>
    <w:r w:rsidR="00916383">
      <w:rPr>
        <w:rFonts w:ascii="Arial" w:hAnsi="Arial"/>
        <w:b/>
        <w:sz w:val="18"/>
        <w:szCs w:val="18"/>
      </w:rPr>
      <w:t>010</w:t>
    </w:r>
    <w:r w:rsidRPr="00BB4E22">
      <w:rPr>
        <w:rFonts w:ascii="Arial" w:hAnsi="Arial"/>
        <w:b/>
        <w:sz w:val="18"/>
        <w:szCs w:val="18"/>
      </w:rPr>
      <w:t xml:space="preserve">  de 2014 </w:t>
    </w:r>
    <w:r w:rsidRPr="00BB4E22">
      <w:rPr>
        <w:rFonts w:ascii="Arial" w:hAnsi="Arial"/>
        <w:b/>
        <w:sz w:val="18"/>
        <w:szCs w:val="18"/>
      </w:rPr>
      <w:tab/>
    </w:r>
    <w:r w:rsidRPr="00BB4E22">
      <w:rPr>
        <w:rFonts w:ascii="Arial" w:hAnsi="Arial"/>
        <w:b/>
        <w:sz w:val="18"/>
        <w:szCs w:val="18"/>
      </w:rPr>
      <w:tab/>
    </w:r>
    <w:r w:rsidR="00B64FF2" w:rsidRPr="00BB4E22">
      <w:rPr>
        <w:rFonts w:ascii="Arial" w:hAnsi="Arial"/>
        <w:b/>
        <w:sz w:val="18"/>
        <w:szCs w:val="18"/>
      </w:rPr>
      <w:t xml:space="preserve">Abril </w:t>
    </w:r>
    <w:r w:rsidRPr="00BB4E22">
      <w:rPr>
        <w:rFonts w:ascii="Arial" w:hAnsi="Arial"/>
        <w:b/>
        <w:sz w:val="18"/>
        <w:szCs w:val="18"/>
      </w:rPr>
      <w:t>de 2014</w:t>
    </w:r>
  </w:p>
  <w:p w:rsidR="00026192" w:rsidRPr="00BB4E22" w:rsidRDefault="00026192" w:rsidP="003C4B53">
    <w:pPr>
      <w:pStyle w:val="Piedepgina"/>
      <w:tabs>
        <w:tab w:val="clear" w:pos="8504"/>
        <w:tab w:val="right" w:pos="9356"/>
      </w:tabs>
      <w:rPr>
        <w:rFonts w:ascii="Arial" w:hAnsi="Arial"/>
        <w:b/>
        <w:sz w:val="18"/>
        <w:szCs w:val="18"/>
      </w:rPr>
    </w:pPr>
    <w:r w:rsidRPr="00BB4E22">
      <w:rPr>
        <w:rFonts w:ascii="Arial" w:hAnsi="Arial"/>
        <w:b/>
        <w:sz w:val="18"/>
        <w:szCs w:val="18"/>
      </w:rPr>
      <w:t>Proforma F.8000-61 (Formato 508)</w:t>
    </w:r>
  </w:p>
  <w:p w:rsidR="00026192" w:rsidRDefault="0002619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A92" w:rsidRDefault="00146A92">
      <w:r>
        <w:separator/>
      </w:r>
    </w:p>
  </w:footnote>
  <w:footnote w:type="continuationSeparator" w:id="0">
    <w:p w:rsidR="00146A92" w:rsidRDefault="00146A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192" w:rsidRDefault="00026192">
    <w:pPr>
      <w:pStyle w:val="Encabezado"/>
      <w:jc w:val="center"/>
      <w:rPr>
        <w:rFonts w:ascii="Arial" w:hAnsi="Arial" w:cs="Arial"/>
        <w:b/>
        <w:sz w:val="24"/>
        <w:szCs w:val="24"/>
      </w:rPr>
    </w:pPr>
    <w:r>
      <w:rPr>
        <w:rFonts w:ascii="Arial" w:hAnsi="Arial" w:cs="Arial"/>
        <w:b/>
        <w:sz w:val="24"/>
        <w:szCs w:val="24"/>
      </w:rPr>
      <w:t>SUPERINTENDENCIA FINANCIERA DE COLOMBIA</w:t>
    </w:r>
  </w:p>
  <w:p w:rsidR="00026192" w:rsidRDefault="00026192">
    <w:pPr>
      <w:pStyle w:val="Encabezado"/>
      <w:jc w:val="center"/>
      <w:rPr>
        <w:rFonts w:ascii="Arial" w:hAnsi="Arial" w:cs="Arial"/>
        <w:b/>
        <w:sz w:val="24"/>
        <w:szCs w:val="24"/>
      </w:rPr>
    </w:pPr>
  </w:p>
  <w:p w:rsidR="00026192" w:rsidRDefault="00026192">
    <w:pPr>
      <w:pStyle w:val="Encabezado"/>
      <w:rPr>
        <w:sz w:val="20"/>
      </w:rPr>
    </w:pPr>
  </w:p>
  <w:p w:rsidR="00026192" w:rsidRDefault="00026192">
    <w:pPr>
      <w:pStyle w:val="Encabezado"/>
      <w:rPr>
        <w:rFonts w:ascii="Arial" w:hAnsi="Arial"/>
        <w:b/>
        <w:sz w:val="20"/>
      </w:rPr>
    </w:pPr>
    <w:r>
      <w:rPr>
        <w:rFonts w:ascii="Arial" w:hAnsi="Arial"/>
        <w:b/>
        <w:sz w:val="20"/>
      </w:rPr>
      <w:t>ANEXO l - REMISIÓN DE INFORMACIÓN</w:t>
    </w:r>
  </w:p>
  <w:p w:rsidR="00026192" w:rsidRDefault="00026192">
    <w:pPr>
      <w:pStyle w:val="Encabezado"/>
      <w:rPr>
        <w:rFonts w:ascii="Arial" w:hAnsi="Arial"/>
        <w:b/>
        <w:sz w:val="20"/>
      </w:rPr>
    </w:pPr>
    <w:r>
      <w:rPr>
        <w:rFonts w:ascii="Arial" w:hAnsi="Arial"/>
        <w:b/>
        <w:sz w:val="20"/>
      </w:rPr>
      <w:t>PARTE I - PROFORMAS F-8000</w:t>
    </w:r>
  </w:p>
  <w:p w:rsidR="00026192" w:rsidRPr="00A72393" w:rsidRDefault="00026192" w:rsidP="00104AC6">
    <w:pPr>
      <w:pStyle w:val="Encabezado"/>
      <w:jc w:val="both"/>
      <w:rPr>
        <w:rStyle w:val="Nmerodepgina"/>
        <w:rFonts w:ascii="Arial" w:hAnsi="Arial" w:cs="Arial"/>
        <w:b/>
        <w:bCs/>
        <w:sz w:val="20"/>
      </w:rPr>
    </w:pPr>
    <w:r w:rsidRPr="00A72393">
      <w:rPr>
        <w:rFonts w:ascii="Arial" w:hAnsi="Arial" w:cs="Arial"/>
        <w:b/>
        <w:sz w:val="20"/>
      </w:rPr>
      <w:t xml:space="preserve">Página </w:t>
    </w:r>
    <w:r w:rsidRPr="001D2E9F">
      <w:rPr>
        <w:rFonts w:ascii="Arial" w:hAnsi="Arial" w:cs="Arial"/>
        <w:b/>
        <w:sz w:val="20"/>
      </w:rPr>
      <w:fldChar w:fldCharType="begin"/>
    </w:r>
    <w:r w:rsidRPr="001D2E9F">
      <w:rPr>
        <w:rFonts w:ascii="Arial" w:hAnsi="Arial" w:cs="Arial"/>
        <w:b/>
        <w:sz w:val="20"/>
      </w:rPr>
      <w:instrText>PAGE   \* MERGEFORMAT</w:instrText>
    </w:r>
    <w:r w:rsidRPr="001D2E9F">
      <w:rPr>
        <w:rFonts w:ascii="Arial" w:hAnsi="Arial" w:cs="Arial"/>
        <w:b/>
        <w:sz w:val="20"/>
      </w:rPr>
      <w:fldChar w:fldCharType="separate"/>
    </w:r>
    <w:r w:rsidR="00916383">
      <w:rPr>
        <w:rFonts w:ascii="Arial" w:hAnsi="Arial" w:cs="Arial"/>
        <w:b/>
        <w:noProof/>
        <w:sz w:val="20"/>
      </w:rPr>
      <w:t>234</w:t>
    </w:r>
    <w:r w:rsidRPr="001D2E9F">
      <w:rPr>
        <w:rFonts w:ascii="Arial" w:hAnsi="Arial" w:cs="Arial"/>
        <w:b/>
        <w:sz w:val="20"/>
      </w:rPr>
      <w:fldChar w:fldCharType="end"/>
    </w:r>
  </w:p>
  <w:p w:rsidR="00026192" w:rsidRDefault="00026192">
    <w:pPr>
      <w:pStyle w:val="Encabezado"/>
      <w:rPr>
        <w:rStyle w:val="Nmerodepgina"/>
        <w:rFonts w:ascii="Arial" w:hAnsi="Arial"/>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A178B"/>
    <w:multiLevelType w:val="hybridMultilevel"/>
    <w:tmpl w:val="10E69D54"/>
    <w:lvl w:ilvl="0" w:tplc="1A5A4212">
      <w:start w:val="1"/>
      <w:numFmt w:val="lowerLetter"/>
      <w:lvlText w:val="%1."/>
      <w:lvlJc w:val="left"/>
      <w:pPr>
        <w:ind w:left="1065" w:hanging="705"/>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87E7856"/>
    <w:multiLevelType w:val="hybridMultilevel"/>
    <w:tmpl w:val="89AACB0C"/>
    <w:lvl w:ilvl="0" w:tplc="0C0A000F">
      <w:start w:val="1"/>
      <w:numFmt w:val="decimal"/>
      <w:lvlText w:val="%1."/>
      <w:lvlJc w:val="left"/>
      <w:pPr>
        <w:tabs>
          <w:tab w:val="num" w:pos="786"/>
        </w:tabs>
        <w:ind w:left="786" w:hanging="360"/>
      </w:pPr>
      <w:rPr>
        <w:rFonts w:hint="default"/>
      </w:rPr>
    </w:lvl>
    <w:lvl w:ilvl="1" w:tplc="0C0A0019">
      <w:start w:val="1"/>
      <w:numFmt w:val="lowerLetter"/>
      <w:lvlText w:val="%2."/>
      <w:lvlJc w:val="left"/>
      <w:pPr>
        <w:tabs>
          <w:tab w:val="num" w:pos="2082"/>
        </w:tabs>
        <w:ind w:left="2082" w:hanging="360"/>
      </w:pPr>
    </w:lvl>
    <w:lvl w:ilvl="2" w:tplc="0C0A001B" w:tentative="1">
      <w:start w:val="1"/>
      <w:numFmt w:val="lowerRoman"/>
      <w:lvlText w:val="%3."/>
      <w:lvlJc w:val="right"/>
      <w:pPr>
        <w:tabs>
          <w:tab w:val="num" w:pos="2802"/>
        </w:tabs>
        <w:ind w:left="2802" w:hanging="180"/>
      </w:pPr>
    </w:lvl>
    <w:lvl w:ilvl="3" w:tplc="0C0A000F" w:tentative="1">
      <w:start w:val="1"/>
      <w:numFmt w:val="decimal"/>
      <w:lvlText w:val="%4."/>
      <w:lvlJc w:val="left"/>
      <w:pPr>
        <w:tabs>
          <w:tab w:val="num" w:pos="3522"/>
        </w:tabs>
        <w:ind w:left="3522" w:hanging="360"/>
      </w:pPr>
    </w:lvl>
    <w:lvl w:ilvl="4" w:tplc="0C0A0019" w:tentative="1">
      <w:start w:val="1"/>
      <w:numFmt w:val="lowerLetter"/>
      <w:lvlText w:val="%5."/>
      <w:lvlJc w:val="left"/>
      <w:pPr>
        <w:tabs>
          <w:tab w:val="num" w:pos="4242"/>
        </w:tabs>
        <w:ind w:left="4242" w:hanging="360"/>
      </w:pPr>
    </w:lvl>
    <w:lvl w:ilvl="5" w:tplc="0C0A001B" w:tentative="1">
      <w:start w:val="1"/>
      <w:numFmt w:val="lowerRoman"/>
      <w:lvlText w:val="%6."/>
      <w:lvlJc w:val="right"/>
      <w:pPr>
        <w:tabs>
          <w:tab w:val="num" w:pos="4962"/>
        </w:tabs>
        <w:ind w:left="4962" w:hanging="180"/>
      </w:pPr>
    </w:lvl>
    <w:lvl w:ilvl="6" w:tplc="0C0A000F" w:tentative="1">
      <w:start w:val="1"/>
      <w:numFmt w:val="decimal"/>
      <w:lvlText w:val="%7."/>
      <w:lvlJc w:val="left"/>
      <w:pPr>
        <w:tabs>
          <w:tab w:val="num" w:pos="5682"/>
        </w:tabs>
        <w:ind w:left="5682" w:hanging="360"/>
      </w:pPr>
    </w:lvl>
    <w:lvl w:ilvl="7" w:tplc="0C0A0019" w:tentative="1">
      <w:start w:val="1"/>
      <w:numFmt w:val="lowerLetter"/>
      <w:lvlText w:val="%8."/>
      <w:lvlJc w:val="left"/>
      <w:pPr>
        <w:tabs>
          <w:tab w:val="num" w:pos="6402"/>
        </w:tabs>
        <w:ind w:left="6402" w:hanging="360"/>
      </w:pPr>
    </w:lvl>
    <w:lvl w:ilvl="8" w:tplc="0C0A001B" w:tentative="1">
      <w:start w:val="1"/>
      <w:numFmt w:val="lowerRoman"/>
      <w:lvlText w:val="%9."/>
      <w:lvlJc w:val="right"/>
      <w:pPr>
        <w:tabs>
          <w:tab w:val="num" w:pos="7122"/>
        </w:tabs>
        <w:ind w:left="7122" w:hanging="180"/>
      </w:pPr>
    </w:lvl>
  </w:abstractNum>
  <w:abstractNum w:abstractNumId="2">
    <w:nsid w:val="0A01695D"/>
    <w:multiLevelType w:val="hybridMultilevel"/>
    <w:tmpl w:val="E7D80E28"/>
    <w:lvl w:ilvl="0" w:tplc="0C0A0001">
      <w:start w:val="1"/>
      <w:numFmt w:val="bullet"/>
      <w:lvlText w:val=""/>
      <w:lvlJc w:val="left"/>
      <w:pPr>
        <w:tabs>
          <w:tab w:val="num" w:pos="1004"/>
        </w:tabs>
        <w:ind w:left="1004" w:hanging="360"/>
      </w:pPr>
      <w:rPr>
        <w:rFonts w:ascii="Symbol" w:hAnsi="Symbol"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3">
    <w:nsid w:val="0E8C53D7"/>
    <w:multiLevelType w:val="multilevel"/>
    <w:tmpl w:val="BBC87482"/>
    <w:lvl w:ilvl="0">
      <w:start w:val="1"/>
      <w:numFmt w:val="decimal"/>
      <w:lvlText w:val="%1)"/>
      <w:lvlJc w:val="left"/>
      <w:pPr>
        <w:tabs>
          <w:tab w:val="num" w:pos="360"/>
        </w:tabs>
        <w:ind w:left="360" w:hanging="360"/>
      </w:pPr>
      <w:rPr>
        <w:rFonts w:hint="default"/>
      </w:rPr>
    </w:lvl>
    <w:lvl w:ilvl="1">
      <w:start w:val="5"/>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F96316B"/>
    <w:multiLevelType w:val="hybridMultilevel"/>
    <w:tmpl w:val="F0B87342"/>
    <w:lvl w:ilvl="0" w:tplc="B7083D9A">
      <w:start w:val="9"/>
      <w:numFmt w:val="lowerLetter"/>
      <w:lvlText w:val="%1)"/>
      <w:lvlJc w:val="left"/>
      <w:pPr>
        <w:tabs>
          <w:tab w:val="num" w:pos="360"/>
        </w:tabs>
        <w:ind w:left="360" w:hanging="360"/>
      </w:pPr>
      <w:rPr>
        <w:rFonts w:hint="default"/>
      </w:rPr>
    </w:lvl>
    <w:lvl w:ilvl="1" w:tplc="E6F86148">
      <w:start w:val="8"/>
      <w:numFmt w:val="lowerLetter"/>
      <w:lvlText w:val="%2."/>
      <w:lvlJc w:val="left"/>
      <w:pPr>
        <w:tabs>
          <w:tab w:val="num" w:pos="796"/>
        </w:tabs>
        <w:ind w:left="796" w:hanging="360"/>
      </w:pPr>
      <w:rPr>
        <w:rFonts w:hint="default"/>
      </w:rPr>
    </w:lvl>
    <w:lvl w:ilvl="2" w:tplc="0C0A001B" w:tentative="1">
      <w:start w:val="1"/>
      <w:numFmt w:val="lowerRoman"/>
      <w:lvlText w:val="%3."/>
      <w:lvlJc w:val="right"/>
      <w:pPr>
        <w:tabs>
          <w:tab w:val="num" w:pos="1516"/>
        </w:tabs>
        <w:ind w:left="1516" w:hanging="180"/>
      </w:pPr>
    </w:lvl>
    <w:lvl w:ilvl="3" w:tplc="0C0A000F" w:tentative="1">
      <w:start w:val="1"/>
      <w:numFmt w:val="decimal"/>
      <w:lvlText w:val="%4."/>
      <w:lvlJc w:val="left"/>
      <w:pPr>
        <w:tabs>
          <w:tab w:val="num" w:pos="2236"/>
        </w:tabs>
        <w:ind w:left="2236" w:hanging="360"/>
      </w:pPr>
    </w:lvl>
    <w:lvl w:ilvl="4" w:tplc="0C0A0019" w:tentative="1">
      <w:start w:val="1"/>
      <w:numFmt w:val="lowerLetter"/>
      <w:lvlText w:val="%5."/>
      <w:lvlJc w:val="left"/>
      <w:pPr>
        <w:tabs>
          <w:tab w:val="num" w:pos="2956"/>
        </w:tabs>
        <w:ind w:left="2956" w:hanging="360"/>
      </w:pPr>
    </w:lvl>
    <w:lvl w:ilvl="5" w:tplc="0C0A001B" w:tentative="1">
      <w:start w:val="1"/>
      <w:numFmt w:val="lowerRoman"/>
      <w:lvlText w:val="%6."/>
      <w:lvlJc w:val="right"/>
      <w:pPr>
        <w:tabs>
          <w:tab w:val="num" w:pos="3676"/>
        </w:tabs>
        <w:ind w:left="3676" w:hanging="180"/>
      </w:pPr>
    </w:lvl>
    <w:lvl w:ilvl="6" w:tplc="0C0A000F" w:tentative="1">
      <w:start w:val="1"/>
      <w:numFmt w:val="decimal"/>
      <w:lvlText w:val="%7."/>
      <w:lvlJc w:val="left"/>
      <w:pPr>
        <w:tabs>
          <w:tab w:val="num" w:pos="4396"/>
        </w:tabs>
        <w:ind w:left="4396" w:hanging="360"/>
      </w:pPr>
    </w:lvl>
    <w:lvl w:ilvl="7" w:tplc="0C0A0019" w:tentative="1">
      <w:start w:val="1"/>
      <w:numFmt w:val="lowerLetter"/>
      <w:lvlText w:val="%8."/>
      <w:lvlJc w:val="left"/>
      <w:pPr>
        <w:tabs>
          <w:tab w:val="num" w:pos="5116"/>
        </w:tabs>
        <w:ind w:left="5116" w:hanging="360"/>
      </w:pPr>
    </w:lvl>
    <w:lvl w:ilvl="8" w:tplc="0C0A001B" w:tentative="1">
      <w:start w:val="1"/>
      <w:numFmt w:val="lowerRoman"/>
      <w:lvlText w:val="%9."/>
      <w:lvlJc w:val="right"/>
      <w:pPr>
        <w:tabs>
          <w:tab w:val="num" w:pos="5836"/>
        </w:tabs>
        <w:ind w:left="5836" w:hanging="180"/>
      </w:pPr>
    </w:lvl>
  </w:abstractNum>
  <w:abstractNum w:abstractNumId="5">
    <w:nsid w:val="19EF189C"/>
    <w:multiLevelType w:val="multilevel"/>
    <w:tmpl w:val="549A057C"/>
    <w:lvl w:ilvl="0">
      <w:start w:val="7"/>
      <w:numFmt w:val="lowerLetter"/>
      <w:lvlText w:val="%1)"/>
      <w:lvlJc w:val="left"/>
      <w:pPr>
        <w:tabs>
          <w:tab w:val="num" w:pos="360"/>
        </w:tabs>
        <w:ind w:left="360" w:hanging="360"/>
      </w:pPr>
      <w:rPr>
        <w:rFonts w:hint="default"/>
      </w:rPr>
    </w:lvl>
    <w:lvl w:ilvl="1">
      <w:start w:val="8"/>
      <w:numFmt w:val="lowerLetter"/>
      <w:lvlText w:val="%2."/>
      <w:lvlJc w:val="left"/>
      <w:pPr>
        <w:tabs>
          <w:tab w:val="num" w:pos="796"/>
        </w:tabs>
        <w:ind w:left="796" w:hanging="360"/>
      </w:pPr>
      <w:rPr>
        <w:rFonts w:hint="default"/>
      </w:rPr>
    </w:lvl>
    <w:lvl w:ilvl="2">
      <w:start w:val="1"/>
      <w:numFmt w:val="lowerRoman"/>
      <w:lvlText w:val="%3."/>
      <w:lvlJc w:val="right"/>
      <w:pPr>
        <w:tabs>
          <w:tab w:val="num" w:pos="1516"/>
        </w:tabs>
        <w:ind w:left="1516" w:hanging="180"/>
      </w:pPr>
    </w:lvl>
    <w:lvl w:ilvl="3">
      <w:start w:val="1"/>
      <w:numFmt w:val="decimal"/>
      <w:lvlText w:val="%4."/>
      <w:lvlJc w:val="left"/>
      <w:pPr>
        <w:tabs>
          <w:tab w:val="num" w:pos="2236"/>
        </w:tabs>
        <w:ind w:left="2236" w:hanging="360"/>
      </w:pPr>
    </w:lvl>
    <w:lvl w:ilvl="4">
      <w:start w:val="1"/>
      <w:numFmt w:val="lowerLetter"/>
      <w:lvlText w:val="%5."/>
      <w:lvlJc w:val="left"/>
      <w:pPr>
        <w:tabs>
          <w:tab w:val="num" w:pos="2956"/>
        </w:tabs>
        <w:ind w:left="2956" w:hanging="360"/>
      </w:pPr>
    </w:lvl>
    <w:lvl w:ilvl="5">
      <w:start w:val="1"/>
      <w:numFmt w:val="lowerRoman"/>
      <w:lvlText w:val="%6."/>
      <w:lvlJc w:val="right"/>
      <w:pPr>
        <w:tabs>
          <w:tab w:val="num" w:pos="3676"/>
        </w:tabs>
        <w:ind w:left="3676" w:hanging="180"/>
      </w:pPr>
    </w:lvl>
    <w:lvl w:ilvl="6">
      <w:start w:val="1"/>
      <w:numFmt w:val="decimal"/>
      <w:lvlText w:val="%7."/>
      <w:lvlJc w:val="left"/>
      <w:pPr>
        <w:tabs>
          <w:tab w:val="num" w:pos="4396"/>
        </w:tabs>
        <w:ind w:left="4396" w:hanging="360"/>
      </w:pPr>
    </w:lvl>
    <w:lvl w:ilvl="7">
      <w:start w:val="1"/>
      <w:numFmt w:val="lowerLetter"/>
      <w:lvlText w:val="%8."/>
      <w:lvlJc w:val="left"/>
      <w:pPr>
        <w:tabs>
          <w:tab w:val="num" w:pos="5116"/>
        </w:tabs>
        <w:ind w:left="5116" w:hanging="360"/>
      </w:pPr>
    </w:lvl>
    <w:lvl w:ilvl="8">
      <w:start w:val="1"/>
      <w:numFmt w:val="lowerRoman"/>
      <w:lvlText w:val="%9."/>
      <w:lvlJc w:val="right"/>
      <w:pPr>
        <w:tabs>
          <w:tab w:val="num" w:pos="5836"/>
        </w:tabs>
        <w:ind w:left="5836" w:hanging="180"/>
      </w:pPr>
    </w:lvl>
  </w:abstractNum>
  <w:abstractNum w:abstractNumId="6">
    <w:nsid w:val="1A6015D7"/>
    <w:multiLevelType w:val="hybridMultilevel"/>
    <w:tmpl w:val="336C02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C826A4B"/>
    <w:multiLevelType w:val="multilevel"/>
    <w:tmpl w:val="A948AB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22A435F7"/>
    <w:multiLevelType w:val="hybridMultilevel"/>
    <w:tmpl w:val="1D62AD42"/>
    <w:lvl w:ilvl="0" w:tplc="63EA664C">
      <w:start w:val="8"/>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B905FC0"/>
    <w:multiLevelType w:val="multilevel"/>
    <w:tmpl w:val="A948AB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370574A3"/>
    <w:multiLevelType w:val="hybridMultilevel"/>
    <w:tmpl w:val="29D43268"/>
    <w:lvl w:ilvl="0" w:tplc="63EA664C">
      <w:start w:val="8"/>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14"/>
        </w:tabs>
        <w:ind w:left="1014" w:hanging="360"/>
      </w:pPr>
    </w:lvl>
    <w:lvl w:ilvl="2" w:tplc="0C0A001B" w:tentative="1">
      <w:start w:val="1"/>
      <w:numFmt w:val="lowerRoman"/>
      <w:lvlText w:val="%3."/>
      <w:lvlJc w:val="right"/>
      <w:pPr>
        <w:tabs>
          <w:tab w:val="num" w:pos="1734"/>
        </w:tabs>
        <w:ind w:left="1734" w:hanging="180"/>
      </w:pPr>
    </w:lvl>
    <w:lvl w:ilvl="3" w:tplc="0C0A000F" w:tentative="1">
      <w:start w:val="1"/>
      <w:numFmt w:val="decimal"/>
      <w:lvlText w:val="%4."/>
      <w:lvlJc w:val="left"/>
      <w:pPr>
        <w:tabs>
          <w:tab w:val="num" w:pos="2454"/>
        </w:tabs>
        <w:ind w:left="2454" w:hanging="360"/>
      </w:pPr>
    </w:lvl>
    <w:lvl w:ilvl="4" w:tplc="0C0A0019" w:tentative="1">
      <w:start w:val="1"/>
      <w:numFmt w:val="lowerLetter"/>
      <w:lvlText w:val="%5."/>
      <w:lvlJc w:val="left"/>
      <w:pPr>
        <w:tabs>
          <w:tab w:val="num" w:pos="3174"/>
        </w:tabs>
        <w:ind w:left="3174" w:hanging="360"/>
      </w:pPr>
    </w:lvl>
    <w:lvl w:ilvl="5" w:tplc="0C0A001B" w:tentative="1">
      <w:start w:val="1"/>
      <w:numFmt w:val="lowerRoman"/>
      <w:lvlText w:val="%6."/>
      <w:lvlJc w:val="right"/>
      <w:pPr>
        <w:tabs>
          <w:tab w:val="num" w:pos="3894"/>
        </w:tabs>
        <w:ind w:left="3894" w:hanging="180"/>
      </w:pPr>
    </w:lvl>
    <w:lvl w:ilvl="6" w:tplc="0C0A000F" w:tentative="1">
      <w:start w:val="1"/>
      <w:numFmt w:val="decimal"/>
      <w:lvlText w:val="%7."/>
      <w:lvlJc w:val="left"/>
      <w:pPr>
        <w:tabs>
          <w:tab w:val="num" w:pos="4614"/>
        </w:tabs>
        <w:ind w:left="4614" w:hanging="360"/>
      </w:pPr>
    </w:lvl>
    <w:lvl w:ilvl="7" w:tplc="0C0A0019" w:tentative="1">
      <w:start w:val="1"/>
      <w:numFmt w:val="lowerLetter"/>
      <w:lvlText w:val="%8."/>
      <w:lvlJc w:val="left"/>
      <w:pPr>
        <w:tabs>
          <w:tab w:val="num" w:pos="5334"/>
        </w:tabs>
        <w:ind w:left="5334" w:hanging="360"/>
      </w:pPr>
    </w:lvl>
    <w:lvl w:ilvl="8" w:tplc="0C0A001B" w:tentative="1">
      <w:start w:val="1"/>
      <w:numFmt w:val="lowerRoman"/>
      <w:lvlText w:val="%9."/>
      <w:lvlJc w:val="right"/>
      <w:pPr>
        <w:tabs>
          <w:tab w:val="num" w:pos="6054"/>
        </w:tabs>
        <w:ind w:left="6054" w:hanging="180"/>
      </w:pPr>
    </w:lvl>
  </w:abstractNum>
  <w:abstractNum w:abstractNumId="11">
    <w:nsid w:val="3B091A91"/>
    <w:multiLevelType w:val="hybridMultilevel"/>
    <w:tmpl w:val="B2E2FCA6"/>
    <w:lvl w:ilvl="0" w:tplc="0C0A000F">
      <w:start w:val="1"/>
      <w:numFmt w:val="decimal"/>
      <w:lvlText w:val="%1."/>
      <w:lvlJc w:val="left"/>
      <w:pPr>
        <w:tabs>
          <w:tab w:val="num" w:pos="644"/>
        </w:tabs>
        <w:ind w:left="644" w:hanging="360"/>
      </w:p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12">
    <w:nsid w:val="3FD210D9"/>
    <w:multiLevelType w:val="hybridMultilevel"/>
    <w:tmpl w:val="5DB43F9E"/>
    <w:lvl w:ilvl="0" w:tplc="F59CE1EE">
      <w:start w:val="1"/>
      <w:numFmt w:val="lowerLetter"/>
      <w:lvlText w:val="%1."/>
      <w:lvlJc w:val="left"/>
      <w:pPr>
        <w:ind w:left="1065" w:hanging="705"/>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49101D6D"/>
    <w:multiLevelType w:val="hybridMultilevel"/>
    <w:tmpl w:val="50DA4BC8"/>
    <w:lvl w:ilvl="0" w:tplc="0C0A000F">
      <w:start w:val="1"/>
      <w:numFmt w:val="decimal"/>
      <w:lvlText w:val="%1."/>
      <w:lvlJc w:val="left"/>
      <w:pPr>
        <w:tabs>
          <w:tab w:val="num" w:pos="644"/>
        </w:tabs>
        <w:ind w:left="644" w:hanging="360"/>
      </w:pPr>
      <w:rPr>
        <w:rFonts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14">
    <w:nsid w:val="54E63D8A"/>
    <w:multiLevelType w:val="hybridMultilevel"/>
    <w:tmpl w:val="3C829AD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557A7021"/>
    <w:multiLevelType w:val="multilevel"/>
    <w:tmpl w:val="79E0F9E6"/>
    <w:lvl w:ilvl="0">
      <w:start w:val="7"/>
      <w:numFmt w:val="lowerLetter"/>
      <w:lvlText w:val="%1)"/>
      <w:lvlJc w:val="left"/>
      <w:pPr>
        <w:tabs>
          <w:tab w:val="num" w:pos="360"/>
        </w:tabs>
        <w:ind w:left="360" w:hanging="360"/>
      </w:pPr>
      <w:rPr>
        <w:rFonts w:hint="default"/>
      </w:rPr>
    </w:lvl>
    <w:lvl w:ilvl="1">
      <w:start w:val="8"/>
      <w:numFmt w:val="lowerLetter"/>
      <w:lvlText w:val="%2."/>
      <w:lvlJc w:val="left"/>
      <w:pPr>
        <w:tabs>
          <w:tab w:val="num" w:pos="796"/>
        </w:tabs>
        <w:ind w:left="796" w:hanging="360"/>
      </w:pPr>
      <w:rPr>
        <w:rFonts w:hint="default"/>
      </w:rPr>
    </w:lvl>
    <w:lvl w:ilvl="2">
      <w:start w:val="1"/>
      <w:numFmt w:val="lowerRoman"/>
      <w:lvlText w:val="%3."/>
      <w:lvlJc w:val="right"/>
      <w:pPr>
        <w:tabs>
          <w:tab w:val="num" w:pos="1516"/>
        </w:tabs>
        <w:ind w:left="1516" w:hanging="180"/>
      </w:pPr>
    </w:lvl>
    <w:lvl w:ilvl="3">
      <w:start w:val="1"/>
      <w:numFmt w:val="decimal"/>
      <w:lvlText w:val="%4."/>
      <w:lvlJc w:val="left"/>
      <w:pPr>
        <w:tabs>
          <w:tab w:val="num" w:pos="2236"/>
        </w:tabs>
        <w:ind w:left="2236" w:hanging="360"/>
      </w:pPr>
    </w:lvl>
    <w:lvl w:ilvl="4">
      <w:start w:val="1"/>
      <w:numFmt w:val="lowerLetter"/>
      <w:lvlText w:val="%5."/>
      <w:lvlJc w:val="left"/>
      <w:pPr>
        <w:tabs>
          <w:tab w:val="num" w:pos="2956"/>
        </w:tabs>
        <w:ind w:left="2956" w:hanging="360"/>
      </w:pPr>
    </w:lvl>
    <w:lvl w:ilvl="5">
      <w:start w:val="1"/>
      <w:numFmt w:val="lowerRoman"/>
      <w:lvlText w:val="%6."/>
      <w:lvlJc w:val="right"/>
      <w:pPr>
        <w:tabs>
          <w:tab w:val="num" w:pos="3676"/>
        </w:tabs>
        <w:ind w:left="3676" w:hanging="180"/>
      </w:pPr>
    </w:lvl>
    <w:lvl w:ilvl="6">
      <w:start w:val="1"/>
      <w:numFmt w:val="decimal"/>
      <w:lvlText w:val="%7."/>
      <w:lvlJc w:val="left"/>
      <w:pPr>
        <w:tabs>
          <w:tab w:val="num" w:pos="4396"/>
        </w:tabs>
        <w:ind w:left="4396" w:hanging="360"/>
      </w:pPr>
    </w:lvl>
    <w:lvl w:ilvl="7">
      <w:start w:val="1"/>
      <w:numFmt w:val="lowerLetter"/>
      <w:lvlText w:val="%8."/>
      <w:lvlJc w:val="left"/>
      <w:pPr>
        <w:tabs>
          <w:tab w:val="num" w:pos="5116"/>
        </w:tabs>
        <w:ind w:left="5116" w:hanging="360"/>
      </w:pPr>
    </w:lvl>
    <w:lvl w:ilvl="8">
      <w:start w:val="1"/>
      <w:numFmt w:val="lowerRoman"/>
      <w:lvlText w:val="%9."/>
      <w:lvlJc w:val="right"/>
      <w:pPr>
        <w:tabs>
          <w:tab w:val="num" w:pos="5836"/>
        </w:tabs>
        <w:ind w:left="5836" w:hanging="180"/>
      </w:pPr>
    </w:lvl>
  </w:abstractNum>
  <w:abstractNum w:abstractNumId="16">
    <w:nsid w:val="60B7101C"/>
    <w:multiLevelType w:val="multilevel"/>
    <w:tmpl w:val="A948AB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2487"/>
        </w:tabs>
        <w:ind w:left="2487"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65844720"/>
    <w:multiLevelType w:val="hybridMultilevel"/>
    <w:tmpl w:val="971A678A"/>
    <w:lvl w:ilvl="0" w:tplc="1A5A4212">
      <w:start w:val="1"/>
      <w:numFmt w:val="lowerLetter"/>
      <w:lvlText w:val="%1."/>
      <w:lvlJc w:val="left"/>
      <w:pPr>
        <w:ind w:left="1065" w:hanging="705"/>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71FB0316"/>
    <w:multiLevelType w:val="multilevel"/>
    <w:tmpl w:val="28B8722A"/>
    <w:lvl w:ilvl="0">
      <w:start w:val="8"/>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726F57F9"/>
    <w:multiLevelType w:val="hybridMultilevel"/>
    <w:tmpl w:val="4BFEE280"/>
    <w:lvl w:ilvl="0" w:tplc="0C0A000F">
      <w:start w:val="1"/>
      <w:numFmt w:val="decimal"/>
      <w:lvlText w:val="%1."/>
      <w:lvlJc w:val="left"/>
      <w:pPr>
        <w:tabs>
          <w:tab w:val="num" w:pos="644"/>
        </w:tabs>
        <w:ind w:left="644" w:hanging="360"/>
      </w:p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20">
    <w:nsid w:val="76352EF8"/>
    <w:multiLevelType w:val="hybridMultilevel"/>
    <w:tmpl w:val="28B8722A"/>
    <w:lvl w:ilvl="0" w:tplc="2064F4E8">
      <w:start w:val="8"/>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4"/>
  </w:num>
  <w:num w:numId="2">
    <w:abstractNumId w:val="1"/>
  </w:num>
  <w:num w:numId="3">
    <w:abstractNumId w:val="16"/>
  </w:num>
  <w:num w:numId="4">
    <w:abstractNumId w:val="9"/>
  </w:num>
  <w:num w:numId="5">
    <w:abstractNumId w:val="7"/>
  </w:num>
  <w:num w:numId="6">
    <w:abstractNumId w:val="3"/>
  </w:num>
  <w:num w:numId="7">
    <w:abstractNumId w:val="2"/>
  </w:num>
  <w:num w:numId="8">
    <w:abstractNumId w:val="13"/>
  </w:num>
  <w:num w:numId="9">
    <w:abstractNumId w:val="11"/>
  </w:num>
  <w:num w:numId="10">
    <w:abstractNumId w:val="19"/>
  </w:num>
  <w:num w:numId="11">
    <w:abstractNumId w:val="4"/>
  </w:num>
  <w:num w:numId="12">
    <w:abstractNumId w:val="20"/>
  </w:num>
  <w:num w:numId="13">
    <w:abstractNumId w:val="18"/>
  </w:num>
  <w:num w:numId="14">
    <w:abstractNumId w:val="8"/>
  </w:num>
  <w:num w:numId="15">
    <w:abstractNumId w:val="10"/>
  </w:num>
  <w:num w:numId="16">
    <w:abstractNumId w:val="5"/>
  </w:num>
  <w:num w:numId="17">
    <w:abstractNumId w:val="15"/>
  </w:num>
  <w:num w:numId="18">
    <w:abstractNumId w:val="6"/>
  </w:num>
  <w:num w:numId="19">
    <w:abstractNumId w:val="0"/>
  </w:num>
  <w:num w:numId="20">
    <w:abstractNumId w:val="1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CF9"/>
    <w:rsid w:val="00014C64"/>
    <w:rsid w:val="00014EFC"/>
    <w:rsid w:val="0002089E"/>
    <w:rsid w:val="00026192"/>
    <w:rsid w:val="0003130D"/>
    <w:rsid w:val="00031E41"/>
    <w:rsid w:val="00040F22"/>
    <w:rsid w:val="00055C0B"/>
    <w:rsid w:val="000572A8"/>
    <w:rsid w:val="00065638"/>
    <w:rsid w:val="0008533E"/>
    <w:rsid w:val="000B2EE2"/>
    <w:rsid w:val="000B3AC2"/>
    <w:rsid w:val="000C10B2"/>
    <w:rsid w:val="000C20A2"/>
    <w:rsid w:val="000C4153"/>
    <w:rsid w:val="000C41BC"/>
    <w:rsid w:val="000D5FC0"/>
    <w:rsid w:val="000E18D1"/>
    <w:rsid w:val="000E77EB"/>
    <w:rsid w:val="00104AC6"/>
    <w:rsid w:val="001069EF"/>
    <w:rsid w:val="0012450C"/>
    <w:rsid w:val="00125B4B"/>
    <w:rsid w:val="001303F5"/>
    <w:rsid w:val="001435A0"/>
    <w:rsid w:val="00146A92"/>
    <w:rsid w:val="00157E81"/>
    <w:rsid w:val="0016509D"/>
    <w:rsid w:val="0017008C"/>
    <w:rsid w:val="00182181"/>
    <w:rsid w:val="00186BE5"/>
    <w:rsid w:val="001A11F2"/>
    <w:rsid w:val="001A1786"/>
    <w:rsid w:val="001A6758"/>
    <w:rsid w:val="001A6817"/>
    <w:rsid w:val="001B670E"/>
    <w:rsid w:val="001C43F7"/>
    <w:rsid w:val="001C6BBB"/>
    <w:rsid w:val="001C6DA8"/>
    <w:rsid w:val="001C7B2C"/>
    <w:rsid w:val="001F2136"/>
    <w:rsid w:val="00216DF7"/>
    <w:rsid w:val="0022359F"/>
    <w:rsid w:val="002402B0"/>
    <w:rsid w:val="002441D9"/>
    <w:rsid w:val="002536F6"/>
    <w:rsid w:val="00262F70"/>
    <w:rsid w:val="0026681A"/>
    <w:rsid w:val="00270BA0"/>
    <w:rsid w:val="0027778A"/>
    <w:rsid w:val="00291F4B"/>
    <w:rsid w:val="002956C2"/>
    <w:rsid w:val="002A7F52"/>
    <w:rsid w:val="002C20FC"/>
    <w:rsid w:val="002D48D5"/>
    <w:rsid w:val="002E6248"/>
    <w:rsid w:val="002E77DB"/>
    <w:rsid w:val="002E7DC5"/>
    <w:rsid w:val="002F12FA"/>
    <w:rsid w:val="002F5B62"/>
    <w:rsid w:val="002F5BA7"/>
    <w:rsid w:val="002F7DCC"/>
    <w:rsid w:val="003025DF"/>
    <w:rsid w:val="00317512"/>
    <w:rsid w:val="00326DC5"/>
    <w:rsid w:val="00342B4A"/>
    <w:rsid w:val="00347D07"/>
    <w:rsid w:val="003649CC"/>
    <w:rsid w:val="003675A1"/>
    <w:rsid w:val="00372C37"/>
    <w:rsid w:val="0039339A"/>
    <w:rsid w:val="00397EDA"/>
    <w:rsid w:val="003C0F64"/>
    <w:rsid w:val="003C27AD"/>
    <w:rsid w:val="003C4284"/>
    <w:rsid w:val="003C4B53"/>
    <w:rsid w:val="003F2A46"/>
    <w:rsid w:val="003F5DCF"/>
    <w:rsid w:val="00425274"/>
    <w:rsid w:val="00474953"/>
    <w:rsid w:val="004776D9"/>
    <w:rsid w:val="00485A4E"/>
    <w:rsid w:val="004876D6"/>
    <w:rsid w:val="00487DF8"/>
    <w:rsid w:val="00491387"/>
    <w:rsid w:val="004B1CE1"/>
    <w:rsid w:val="004B51A3"/>
    <w:rsid w:val="004B7961"/>
    <w:rsid w:val="004C32E6"/>
    <w:rsid w:val="004C3E3D"/>
    <w:rsid w:val="004D4B40"/>
    <w:rsid w:val="004E1A4D"/>
    <w:rsid w:val="004F0F88"/>
    <w:rsid w:val="0050189F"/>
    <w:rsid w:val="00510E03"/>
    <w:rsid w:val="0051171C"/>
    <w:rsid w:val="005171DE"/>
    <w:rsid w:val="00537ADA"/>
    <w:rsid w:val="005434CE"/>
    <w:rsid w:val="0054557F"/>
    <w:rsid w:val="00571A70"/>
    <w:rsid w:val="0058181F"/>
    <w:rsid w:val="005A625E"/>
    <w:rsid w:val="005B0109"/>
    <w:rsid w:val="005C661C"/>
    <w:rsid w:val="005C6DB2"/>
    <w:rsid w:val="005D1CE7"/>
    <w:rsid w:val="005F1227"/>
    <w:rsid w:val="005F7E6C"/>
    <w:rsid w:val="006029A8"/>
    <w:rsid w:val="00611D66"/>
    <w:rsid w:val="00613DBD"/>
    <w:rsid w:val="00617984"/>
    <w:rsid w:val="00622384"/>
    <w:rsid w:val="00657CE5"/>
    <w:rsid w:val="00660E40"/>
    <w:rsid w:val="00667901"/>
    <w:rsid w:val="006773CA"/>
    <w:rsid w:val="00681A34"/>
    <w:rsid w:val="0069424F"/>
    <w:rsid w:val="006A1DF9"/>
    <w:rsid w:val="006A29DA"/>
    <w:rsid w:val="006A69AC"/>
    <w:rsid w:val="006A7F7A"/>
    <w:rsid w:val="006B4497"/>
    <w:rsid w:val="006B7F8D"/>
    <w:rsid w:val="006C619C"/>
    <w:rsid w:val="00717C24"/>
    <w:rsid w:val="0074329B"/>
    <w:rsid w:val="0074783E"/>
    <w:rsid w:val="0076002F"/>
    <w:rsid w:val="0076527D"/>
    <w:rsid w:val="00767452"/>
    <w:rsid w:val="00770EE3"/>
    <w:rsid w:val="00776595"/>
    <w:rsid w:val="00777E14"/>
    <w:rsid w:val="007A0B76"/>
    <w:rsid w:val="007A12C3"/>
    <w:rsid w:val="007A7EFA"/>
    <w:rsid w:val="007B150C"/>
    <w:rsid w:val="007C0870"/>
    <w:rsid w:val="007C7F01"/>
    <w:rsid w:val="007D71FF"/>
    <w:rsid w:val="007E1649"/>
    <w:rsid w:val="007F0EE3"/>
    <w:rsid w:val="00800193"/>
    <w:rsid w:val="00805715"/>
    <w:rsid w:val="00815D21"/>
    <w:rsid w:val="00821498"/>
    <w:rsid w:val="008300DF"/>
    <w:rsid w:val="008403DE"/>
    <w:rsid w:val="00843788"/>
    <w:rsid w:val="00847CF9"/>
    <w:rsid w:val="00850931"/>
    <w:rsid w:val="008509DE"/>
    <w:rsid w:val="00864071"/>
    <w:rsid w:val="00877485"/>
    <w:rsid w:val="00877B6E"/>
    <w:rsid w:val="008857D4"/>
    <w:rsid w:val="0088627D"/>
    <w:rsid w:val="00890A29"/>
    <w:rsid w:val="008A7A84"/>
    <w:rsid w:val="008A7BE8"/>
    <w:rsid w:val="008B3F48"/>
    <w:rsid w:val="008E0BC2"/>
    <w:rsid w:val="0091524F"/>
    <w:rsid w:val="00916383"/>
    <w:rsid w:val="00921618"/>
    <w:rsid w:val="00923A1E"/>
    <w:rsid w:val="009309B9"/>
    <w:rsid w:val="009353D9"/>
    <w:rsid w:val="00942A20"/>
    <w:rsid w:val="00954291"/>
    <w:rsid w:val="00954354"/>
    <w:rsid w:val="00965D55"/>
    <w:rsid w:val="00970522"/>
    <w:rsid w:val="0098191C"/>
    <w:rsid w:val="00981DAC"/>
    <w:rsid w:val="00992DE4"/>
    <w:rsid w:val="00997D05"/>
    <w:rsid w:val="009A5BE9"/>
    <w:rsid w:val="009B0565"/>
    <w:rsid w:val="009B793F"/>
    <w:rsid w:val="009D2263"/>
    <w:rsid w:val="009F2189"/>
    <w:rsid w:val="009F2510"/>
    <w:rsid w:val="009F2BF5"/>
    <w:rsid w:val="009F436C"/>
    <w:rsid w:val="009F5A45"/>
    <w:rsid w:val="009F5C54"/>
    <w:rsid w:val="00A02F3F"/>
    <w:rsid w:val="00A03462"/>
    <w:rsid w:val="00A050C3"/>
    <w:rsid w:val="00A10323"/>
    <w:rsid w:val="00A12D2F"/>
    <w:rsid w:val="00A131D6"/>
    <w:rsid w:val="00A13C0C"/>
    <w:rsid w:val="00A15D35"/>
    <w:rsid w:val="00A216AB"/>
    <w:rsid w:val="00A249AD"/>
    <w:rsid w:val="00A414FD"/>
    <w:rsid w:val="00A50B81"/>
    <w:rsid w:val="00A55B35"/>
    <w:rsid w:val="00A55ED9"/>
    <w:rsid w:val="00A60FDA"/>
    <w:rsid w:val="00A619BF"/>
    <w:rsid w:val="00A73F5C"/>
    <w:rsid w:val="00A75619"/>
    <w:rsid w:val="00A83F4F"/>
    <w:rsid w:val="00A85B88"/>
    <w:rsid w:val="00A87879"/>
    <w:rsid w:val="00A909EC"/>
    <w:rsid w:val="00A931EB"/>
    <w:rsid w:val="00A96B79"/>
    <w:rsid w:val="00AA0B88"/>
    <w:rsid w:val="00AB0697"/>
    <w:rsid w:val="00AB64FA"/>
    <w:rsid w:val="00AB6B38"/>
    <w:rsid w:val="00AC6BD6"/>
    <w:rsid w:val="00AD4373"/>
    <w:rsid w:val="00AE2640"/>
    <w:rsid w:val="00B02014"/>
    <w:rsid w:val="00B03307"/>
    <w:rsid w:val="00B22BAC"/>
    <w:rsid w:val="00B24A91"/>
    <w:rsid w:val="00B32025"/>
    <w:rsid w:val="00B63352"/>
    <w:rsid w:val="00B64FF2"/>
    <w:rsid w:val="00B71329"/>
    <w:rsid w:val="00B7472F"/>
    <w:rsid w:val="00B75595"/>
    <w:rsid w:val="00B917B3"/>
    <w:rsid w:val="00BA39BB"/>
    <w:rsid w:val="00BA3B69"/>
    <w:rsid w:val="00BB4E22"/>
    <w:rsid w:val="00BB6852"/>
    <w:rsid w:val="00BC1452"/>
    <w:rsid w:val="00BD271A"/>
    <w:rsid w:val="00BE49D4"/>
    <w:rsid w:val="00BE7BC0"/>
    <w:rsid w:val="00C11928"/>
    <w:rsid w:val="00C15FEB"/>
    <w:rsid w:val="00C1689B"/>
    <w:rsid w:val="00C22043"/>
    <w:rsid w:val="00C236E7"/>
    <w:rsid w:val="00C3656D"/>
    <w:rsid w:val="00C413EB"/>
    <w:rsid w:val="00C768E3"/>
    <w:rsid w:val="00CB138B"/>
    <w:rsid w:val="00CC6AF9"/>
    <w:rsid w:val="00CC7850"/>
    <w:rsid w:val="00CD043E"/>
    <w:rsid w:val="00CD4181"/>
    <w:rsid w:val="00CD4466"/>
    <w:rsid w:val="00CD64ED"/>
    <w:rsid w:val="00CE3AA7"/>
    <w:rsid w:val="00CE4D94"/>
    <w:rsid w:val="00CF0CF9"/>
    <w:rsid w:val="00D00FB3"/>
    <w:rsid w:val="00D1540A"/>
    <w:rsid w:val="00D209E2"/>
    <w:rsid w:val="00D210B8"/>
    <w:rsid w:val="00D2617D"/>
    <w:rsid w:val="00D36F0F"/>
    <w:rsid w:val="00D5380A"/>
    <w:rsid w:val="00D603CF"/>
    <w:rsid w:val="00D62199"/>
    <w:rsid w:val="00D6783E"/>
    <w:rsid w:val="00D860E6"/>
    <w:rsid w:val="00D86BFD"/>
    <w:rsid w:val="00D872F0"/>
    <w:rsid w:val="00D9087A"/>
    <w:rsid w:val="00DA06A3"/>
    <w:rsid w:val="00DA37B9"/>
    <w:rsid w:val="00DA6CAF"/>
    <w:rsid w:val="00DA7E57"/>
    <w:rsid w:val="00DB5F3A"/>
    <w:rsid w:val="00DC5C59"/>
    <w:rsid w:val="00DE130D"/>
    <w:rsid w:val="00DE4A89"/>
    <w:rsid w:val="00DE618B"/>
    <w:rsid w:val="00DF23C1"/>
    <w:rsid w:val="00DF278D"/>
    <w:rsid w:val="00DF46C8"/>
    <w:rsid w:val="00E01586"/>
    <w:rsid w:val="00E03C9F"/>
    <w:rsid w:val="00E04547"/>
    <w:rsid w:val="00E26A06"/>
    <w:rsid w:val="00E319C8"/>
    <w:rsid w:val="00E32439"/>
    <w:rsid w:val="00E34D92"/>
    <w:rsid w:val="00E35358"/>
    <w:rsid w:val="00E579B9"/>
    <w:rsid w:val="00E64494"/>
    <w:rsid w:val="00E662F4"/>
    <w:rsid w:val="00E732F8"/>
    <w:rsid w:val="00E74EE0"/>
    <w:rsid w:val="00E93B4F"/>
    <w:rsid w:val="00EA757C"/>
    <w:rsid w:val="00EC0274"/>
    <w:rsid w:val="00EE1236"/>
    <w:rsid w:val="00EE200F"/>
    <w:rsid w:val="00EF5C94"/>
    <w:rsid w:val="00F24040"/>
    <w:rsid w:val="00F30C49"/>
    <w:rsid w:val="00F361B1"/>
    <w:rsid w:val="00F428C6"/>
    <w:rsid w:val="00F42A04"/>
    <w:rsid w:val="00F63B29"/>
    <w:rsid w:val="00F656E5"/>
    <w:rsid w:val="00F73E35"/>
    <w:rsid w:val="00FA317F"/>
    <w:rsid w:val="00FB1CCF"/>
    <w:rsid w:val="00FB4089"/>
    <w:rsid w:val="00FC6CC3"/>
    <w:rsid w:val="00FD7237"/>
    <w:rsid w:val="00FE0A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martTagType w:namespaceuri="urn:schemas-microsoft-com:office:smarttags" w:name="ti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13EB"/>
    <w:rPr>
      <w:rFonts w:ascii="Univers Cd (W1)" w:hAnsi="Univers Cd (W1)"/>
      <w:spacing w:val="-3"/>
      <w:sz w:val="28"/>
      <w:lang w:val="es-ES_tradnl"/>
    </w:rPr>
  </w:style>
  <w:style w:type="paragraph" w:styleId="Ttulo1">
    <w:name w:val="heading 1"/>
    <w:basedOn w:val="Normal"/>
    <w:next w:val="Normal"/>
    <w:qFormat/>
    <w:pPr>
      <w:keepNext/>
      <w:jc w:val="both"/>
      <w:outlineLvl w:val="0"/>
    </w:pPr>
    <w:rPr>
      <w:rFonts w:ascii="Arial" w:hAnsi="Arial"/>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independiente">
    <w:name w:val="Body Text"/>
    <w:basedOn w:val="Normal"/>
    <w:pPr>
      <w:jc w:val="both"/>
    </w:pPr>
    <w:rPr>
      <w:rFonts w:ascii="Arial" w:hAnsi="Arial"/>
      <w:b/>
      <w:sz w:val="18"/>
    </w:rPr>
  </w:style>
  <w:style w:type="table" w:styleId="Tablaconcuadrcula">
    <w:name w:val="Table Grid"/>
    <w:basedOn w:val="Tabla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semiHidden/>
    <w:rPr>
      <w:rFonts w:ascii="Tahoma" w:hAnsi="Tahoma" w:cs="Tahoma"/>
      <w:sz w:val="16"/>
      <w:szCs w:val="16"/>
    </w:rPr>
  </w:style>
  <w:style w:type="character" w:styleId="Refdecomentario">
    <w:name w:val="annotation reference"/>
    <w:semiHidden/>
    <w:rPr>
      <w:sz w:val="16"/>
      <w:szCs w:val="16"/>
    </w:rPr>
  </w:style>
  <w:style w:type="paragraph" w:styleId="Textocomentario">
    <w:name w:val="annotation text"/>
    <w:basedOn w:val="Normal"/>
    <w:semiHidden/>
    <w:rPr>
      <w:sz w:val="20"/>
    </w:rPr>
  </w:style>
  <w:style w:type="paragraph" w:styleId="Asuntodelcomentario">
    <w:name w:val="annotation subject"/>
    <w:basedOn w:val="Textocomentario"/>
    <w:next w:val="Textocomentario"/>
    <w:semiHidden/>
    <w:rPr>
      <w:b/>
      <w:bCs/>
    </w:rPr>
  </w:style>
  <w:style w:type="paragraph" w:styleId="Mapadeldocumento">
    <w:name w:val="Document Map"/>
    <w:basedOn w:val="Normal"/>
    <w:semiHidden/>
    <w:pPr>
      <w:shd w:val="clear" w:color="auto" w:fill="000080"/>
    </w:pPr>
    <w:rPr>
      <w:rFonts w:ascii="Tahoma" w:hAnsi="Tahoma" w:cs="Tahoma"/>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13EB"/>
    <w:rPr>
      <w:rFonts w:ascii="Univers Cd (W1)" w:hAnsi="Univers Cd (W1)"/>
      <w:spacing w:val="-3"/>
      <w:sz w:val="28"/>
      <w:lang w:val="es-ES_tradnl"/>
    </w:rPr>
  </w:style>
  <w:style w:type="paragraph" w:styleId="Ttulo1">
    <w:name w:val="heading 1"/>
    <w:basedOn w:val="Normal"/>
    <w:next w:val="Normal"/>
    <w:qFormat/>
    <w:pPr>
      <w:keepNext/>
      <w:jc w:val="both"/>
      <w:outlineLvl w:val="0"/>
    </w:pPr>
    <w:rPr>
      <w:rFonts w:ascii="Arial" w:hAnsi="Arial"/>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independiente">
    <w:name w:val="Body Text"/>
    <w:basedOn w:val="Normal"/>
    <w:pPr>
      <w:jc w:val="both"/>
    </w:pPr>
    <w:rPr>
      <w:rFonts w:ascii="Arial" w:hAnsi="Arial"/>
      <w:b/>
      <w:sz w:val="18"/>
    </w:rPr>
  </w:style>
  <w:style w:type="table" w:styleId="Tablaconcuadrcula">
    <w:name w:val="Table Grid"/>
    <w:basedOn w:val="Tabla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semiHidden/>
    <w:rPr>
      <w:rFonts w:ascii="Tahoma" w:hAnsi="Tahoma" w:cs="Tahoma"/>
      <w:sz w:val="16"/>
      <w:szCs w:val="16"/>
    </w:rPr>
  </w:style>
  <w:style w:type="character" w:styleId="Refdecomentario">
    <w:name w:val="annotation reference"/>
    <w:semiHidden/>
    <w:rPr>
      <w:sz w:val="16"/>
      <w:szCs w:val="16"/>
    </w:rPr>
  </w:style>
  <w:style w:type="paragraph" w:styleId="Textocomentario">
    <w:name w:val="annotation text"/>
    <w:basedOn w:val="Normal"/>
    <w:semiHidden/>
    <w:rPr>
      <w:sz w:val="20"/>
    </w:rPr>
  </w:style>
  <w:style w:type="paragraph" w:styleId="Asuntodelcomentario">
    <w:name w:val="annotation subject"/>
    <w:basedOn w:val="Textocomentario"/>
    <w:next w:val="Textocomentario"/>
    <w:semiHidden/>
    <w:rPr>
      <w:b/>
      <w:bCs/>
    </w:rPr>
  </w:style>
  <w:style w:type="paragraph" w:styleId="Mapadeldocumento">
    <w:name w:val="Document Map"/>
    <w:basedOn w:val="Normal"/>
    <w:semiHidden/>
    <w:pPr>
      <w:shd w:val="clear" w:color="auto" w:fill="000080"/>
    </w:pPr>
    <w:rPr>
      <w:rFonts w:ascii="Tahoma"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8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E9025-D0FB-4BA6-BEAD-46DA981D2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4013</Words>
  <Characters>22072</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«tema»</vt:lpstr>
    </vt:vector>
  </TitlesOfParts>
  <Company>Superintendencia Bancaria</Company>
  <LinksUpToDate>false</LinksUpToDate>
  <CharactersWithSpaces>26033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«tema»</dc:title>
  <dc:creator>dmrojas</dc:creator>
  <cp:lastModifiedBy>gaospina</cp:lastModifiedBy>
  <cp:revision>2</cp:revision>
  <cp:lastPrinted>2014-04-22T21:47:00Z</cp:lastPrinted>
  <dcterms:created xsi:type="dcterms:W3CDTF">2014-04-23T18:05:00Z</dcterms:created>
  <dcterms:modified xsi:type="dcterms:W3CDTF">2014-04-23T18:05:00Z</dcterms:modified>
</cp:coreProperties>
</file>